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B4842" w14:textId="006555AC" w:rsidR="003F3A41" w:rsidRPr="00397406" w:rsidRDefault="00A57D36" w:rsidP="00A57D36">
      <w:pPr>
        <w:pStyle w:val="WPnumber"/>
      </w:pPr>
      <w:bookmarkStart w:id="0" w:name="_Toc153189647"/>
      <w:bookmarkStart w:id="1" w:name="_Toc214003082"/>
      <w:r w:rsidRPr="00397406">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533B5C">
            <w:t>SCE17HC040</w:t>
          </w:r>
        </w:sdtContent>
      </w:sdt>
    </w:p>
    <w:bookmarkEnd w:id="0"/>
    <w:p w14:paraId="6BBFE3A4" w14:textId="5C00A419" w:rsidR="00DA690B" w:rsidRPr="00397406" w:rsidRDefault="00FF51B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533B5C">
            <w:rPr>
              <w:rStyle w:val="CaptionChar"/>
              <w:rFonts w:asciiTheme="minorHAnsi" w:hAnsiTheme="minorHAnsi" w:cstheme="minorHAnsi"/>
              <w:b/>
              <w:bCs w:val="0"/>
              <w:sz w:val="48"/>
              <w:szCs w:val="48"/>
            </w:rPr>
            <w:t>Revision 0</w:t>
          </w:r>
        </w:sdtContent>
      </w:sdt>
    </w:p>
    <w:p w14:paraId="3B8CF859" w14:textId="77777777" w:rsidR="00285A0D" w:rsidRPr="00397406" w:rsidRDefault="00285A0D" w:rsidP="00DE5758">
      <w:pPr>
        <w:jc w:val="right"/>
        <w:rPr>
          <w:rFonts w:cstheme="minorHAnsi"/>
          <w:b/>
          <w:sz w:val="48"/>
          <w:szCs w:val="48"/>
        </w:rPr>
      </w:pPr>
    </w:p>
    <w:bookmarkStart w:id="2" w:name="SCE"/>
    <w:p w14:paraId="2A204C38" w14:textId="1D072842" w:rsidR="00DA690B" w:rsidRPr="00397406" w:rsidRDefault="00FF51B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533B5C">
            <w:rPr>
              <w:rFonts w:cstheme="minorHAnsi"/>
              <w:b/>
              <w:sz w:val="36"/>
              <w:szCs w:val="36"/>
            </w:rPr>
            <w:t>Southern California Edison Company</w:t>
          </w:r>
        </w:sdtContent>
      </w:sdt>
      <w:bookmarkEnd w:id="2"/>
    </w:p>
    <w:p w14:paraId="3418CAAC" w14:textId="77777777" w:rsidR="00DA690B" w:rsidRPr="00397406" w:rsidRDefault="00DA690B" w:rsidP="00DA690B">
      <w:pPr>
        <w:rPr>
          <w:rFonts w:cstheme="minorHAnsi"/>
        </w:rPr>
      </w:pPr>
    </w:p>
    <w:p w14:paraId="36240984" w14:textId="77777777" w:rsidR="00DA690B" w:rsidRPr="00397406" w:rsidRDefault="00DA690B" w:rsidP="00DA690B">
      <w:pPr>
        <w:rPr>
          <w:rFonts w:cstheme="minorHAnsi"/>
        </w:rPr>
      </w:pPr>
    </w:p>
    <w:p w14:paraId="1F8DEF69" w14:textId="77777777" w:rsidR="00DA690B" w:rsidRPr="00397406" w:rsidRDefault="009D0753" w:rsidP="009D0753">
      <w:pPr>
        <w:tabs>
          <w:tab w:val="left" w:pos="8190"/>
        </w:tabs>
        <w:rPr>
          <w:rFonts w:cstheme="minorHAnsi"/>
        </w:rPr>
      </w:pPr>
      <w:r w:rsidRPr="00397406">
        <w:rPr>
          <w:rFonts w:cstheme="minorHAnsi"/>
        </w:rPr>
        <w:tab/>
      </w:r>
      <w:bookmarkStart w:id="3" w:name="_GoBack"/>
      <w:bookmarkEnd w:id="3"/>
    </w:p>
    <w:p w14:paraId="23265C8C" w14:textId="77777777" w:rsidR="00DA690B" w:rsidRPr="00397406" w:rsidRDefault="00DA690B" w:rsidP="00DA690B">
      <w:pPr>
        <w:rPr>
          <w:rFonts w:cstheme="minorHAnsi"/>
        </w:rPr>
      </w:pPr>
    </w:p>
    <w:p w14:paraId="11B932B1" w14:textId="77777777" w:rsidR="00DA690B" w:rsidRPr="00397406" w:rsidRDefault="00DA690B" w:rsidP="00DA690B">
      <w:pPr>
        <w:rPr>
          <w:rFonts w:cstheme="minorHAnsi"/>
        </w:rPr>
      </w:pPr>
    </w:p>
    <w:p w14:paraId="08DA5CE3" w14:textId="77777777" w:rsidR="00DA690B" w:rsidRPr="00397406" w:rsidRDefault="00DA690B" w:rsidP="00DA690B">
      <w:pPr>
        <w:rPr>
          <w:rFonts w:cstheme="minorHAnsi"/>
        </w:rPr>
      </w:pPr>
    </w:p>
    <w:p w14:paraId="3C2A26DD" w14:textId="77777777" w:rsidR="00DA690B" w:rsidRPr="00397406" w:rsidRDefault="00DA690B" w:rsidP="00DA690B">
      <w:pPr>
        <w:rPr>
          <w:rFonts w:cstheme="minorHAnsi"/>
        </w:rPr>
      </w:pPr>
    </w:p>
    <w:p w14:paraId="3821C12E" w14:textId="77777777" w:rsidR="00DA690B" w:rsidRPr="00397406" w:rsidRDefault="00DA690B" w:rsidP="00DA690B">
      <w:pPr>
        <w:rPr>
          <w:rFonts w:cstheme="minorHAnsi"/>
        </w:rPr>
      </w:pPr>
    </w:p>
    <w:p w14:paraId="01FCD3D6" w14:textId="2E7B4F5F" w:rsidR="00DA690B" w:rsidRPr="00397406" w:rsidRDefault="00CA4782" w:rsidP="00DA690B">
      <w:pPr>
        <w:rPr>
          <w:rFonts w:cstheme="minorHAnsi"/>
          <w:b/>
          <w:sz w:val="72"/>
          <w:szCs w:val="72"/>
        </w:rPr>
      </w:pPr>
      <w:r>
        <w:rPr>
          <w:rFonts w:cstheme="minorHAnsi"/>
          <w:b/>
          <w:sz w:val="72"/>
          <w:szCs w:val="72"/>
        </w:rPr>
        <w:t>Cogged V-Belt Non-Residential HVAC Fans</w:t>
      </w:r>
    </w:p>
    <w:p w14:paraId="5B576F37" w14:textId="77777777" w:rsidR="00CA4782" w:rsidRDefault="00CA4782" w:rsidP="00EF4E6B">
      <w:pPr>
        <w:pStyle w:val="Reminders"/>
        <w:rPr>
          <w:rFonts w:asciiTheme="minorHAnsi" w:hAnsiTheme="minorHAnsi" w:cstheme="minorHAnsi"/>
          <w:b/>
          <w:i w:val="0"/>
          <w:sz w:val="32"/>
          <w:szCs w:val="22"/>
        </w:rPr>
      </w:pPr>
    </w:p>
    <w:p w14:paraId="3D91FE79" w14:textId="77777777" w:rsidR="00523736" w:rsidRPr="00397406" w:rsidRDefault="00523736" w:rsidP="00E76B31">
      <w:pPr>
        <w:pStyle w:val="Reminders"/>
        <w:rPr>
          <w:rFonts w:asciiTheme="minorHAnsi" w:hAnsiTheme="minorHAnsi" w:cstheme="minorHAnsi"/>
          <w:b/>
          <w:i w:val="0"/>
          <w:sz w:val="32"/>
          <w:szCs w:val="22"/>
        </w:rPr>
        <w:sectPr w:rsidR="00523736" w:rsidRPr="00397406">
          <w:footerReference w:type="default" r:id="rId9"/>
          <w:pgSz w:w="12240" w:h="15840"/>
          <w:pgMar w:top="1440" w:right="1440" w:bottom="1440" w:left="1440" w:header="720" w:footer="720" w:gutter="0"/>
          <w:cols w:space="720"/>
          <w:docGrid w:linePitch="360"/>
        </w:sectPr>
      </w:pPr>
    </w:p>
    <w:p w14:paraId="24DC3044" w14:textId="77777777" w:rsidR="00290ED8" w:rsidRPr="00397406" w:rsidRDefault="00290ED8" w:rsidP="00AC5309">
      <w:pPr>
        <w:pStyle w:val="Heading1"/>
      </w:pPr>
      <w:bookmarkStart w:id="4" w:name="_Toc304800192"/>
      <w:bookmarkStart w:id="5" w:name="_Toc324318330"/>
      <w:bookmarkStart w:id="6" w:name="_Toc324340474"/>
      <w:bookmarkStart w:id="7" w:name="_Toc324433427"/>
      <w:r w:rsidRPr="00397406">
        <w:lastRenderedPageBreak/>
        <w:t>At-a-Glance Summary</w:t>
      </w:r>
      <w:bookmarkEnd w:id="4"/>
      <w:bookmarkEnd w:id="5"/>
      <w:bookmarkEnd w:id="6"/>
      <w:bookmarkEnd w:id="7"/>
    </w:p>
    <w:tbl>
      <w:tblPr>
        <w:tblStyle w:val="TableContemporary"/>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6030"/>
      </w:tblGrid>
      <w:tr w:rsidR="00CA4782" w:rsidRPr="00397406" w14:paraId="4DFB7722" w14:textId="77777777" w:rsidTr="00874AAE">
        <w:trPr>
          <w:cnfStyle w:val="100000000000" w:firstRow="1" w:lastRow="0" w:firstColumn="0" w:lastColumn="0" w:oddVBand="0" w:evenVBand="0" w:oddHBand="0" w:evenHBand="0" w:firstRowFirstColumn="0" w:firstRowLastColumn="0" w:lastRowFirstColumn="0" w:lastRowLastColumn="0"/>
          <w:trHeight w:val="465"/>
        </w:trPr>
        <w:tc>
          <w:tcPr>
            <w:tcW w:w="3618" w:type="dxa"/>
            <w:shd w:val="clear" w:color="auto" w:fill="auto"/>
          </w:tcPr>
          <w:p w14:paraId="2E345F0B" w14:textId="36A030D6" w:rsidR="00CA4782" w:rsidRPr="00076F51" w:rsidRDefault="00CA4782" w:rsidP="005729C8">
            <w:pPr>
              <w:rPr>
                <w:rStyle w:val="Strong"/>
                <w:rFonts w:asciiTheme="minorHAnsi" w:hAnsiTheme="minorHAnsi"/>
                <w:b/>
                <w:sz w:val="20"/>
                <w:szCs w:val="20"/>
              </w:rPr>
            </w:pPr>
            <w:r w:rsidRPr="00076F51">
              <w:rPr>
                <w:rStyle w:val="Strong"/>
                <w:rFonts w:asciiTheme="minorHAnsi" w:hAnsiTheme="minorHAnsi"/>
                <w:b/>
                <w:sz w:val="20"/>
                <w:szCs w:val="20"/>
              </w:rPr>
              <w:t>Measure Codes:</w:t>
            </w:r>
          </w:p>
        </w:tc>
        <w:tc>
          <w:tcPr>
            <w:tcW w:w="6030" w:type="dxa"/>
            <w:shd w:val="clear" w:color="auto" w:fill="auto"/>
          </w:tcPr>
          <w:p w14:paraId="78CF9105" w14:textId="3E7A9617" w:rsidR="00CA4782" w:rsidRPr="00E86496" w:rsidRDefault="00CA4782" w:rsidP="00077B34">
            <w:pPr>
              <w:rPr>
                <w:rFonts w:cstheme="minorHAnsi"/>
                <w:b w:val="0"/>
                <w:bCs w:val="0"/>
                <w:szCs w:val="20"/>
              </w:rPr>
            </w:pPr>
            <w:r>
              <w:rPr>
                <w:rFonts w:cstheme="minorHAnsi"/>
                <w:b w:val="0"/>
                <w:bCs w:val="0"/>
                <w:szCs w:val="20"/>
              </w:rPr>
              <w:t xml:space="preserve">AC-46275 - </w:t>
            </w:r>
            <w:r w:rsidRPr="00716F42">
              <w:rPr>
                <w:rFonts w:cstheme="minorHAnsi"/>
                <w:b w:val="0"/>
                <w:bCs w:val="0"/>
                <w:szCs w:val="20"/>
              </w:rPr>
              <w:t>HVAC Fan Cogged V-Belt replacing Smooth V-Belt</w:t>
            </w:r>
          </w:p>
        </w:tc>
      </w:tr>
      <w:tr w:rsidR="00CA4782" w:rsidRPr="00397406" w14:paraId="7A2C63D9" w14:textId="77777777" w:rsidTr="00874AAE">
        <w:trPr>
          <w:cnfStyle w:val="000000100000" w:firstRow="0" w:lastRow="0" w:firstColumn="0" w:lastColumn="0" w:oddVBand="0" w:evenVBand="0" w:oddHBand="1" w:evenHBand="0" w:firstRowFirstColumn="0" w:firstRowLastColumn="0" w:lastRowFirstColumn="0" w:lastRowLastColumn="0"/>
          <w:trHeight w:val="465"/>
        </w:trPr>
        <w:tc>
          <w:tcPr>
            <w:tcW w:w="3618" w:type="dxa"/>
            <w:shd w:val="clear" w:color="auto" w:fill="auto"/>
          </w:tcPr>
          <w:p w14:paraId="4316392E" w14:textId="77777777" w:rsidR="00CA4782" w:rsidRPr="00076F51" w:rsidRDefault="00CA4782" w:rsidP="005729C8">
            <w:pPr>
              <w:rPr>
                <w:rStyle w:val="Strong"/>
                <w:rFonts w:asciiTheme="minorHAnsi" w:hAnsiTheme="minorHAnsi"/>
                <w:sz w:val="20"/>
                <w:szCs w:val="20"/>
              </w:rPr>
            </w:pPr>
            <w:r w:rsidRPr="00076F51">
              <w:rPr>
                <w:rStyle w:val="Strong"/>
                <w:rFonts w:asciiTheme="minorHAnsi" w:hAnsiTheme="minorHAnsi"/>
                <w:sz w:val="20"/>
                <w:szCs w:val="20"/>
              </w:rPr>
              <w:t xml:space="preserve">Measure Description: </w:t>
            </w:r>
          </w:p>
        </w:tc>
        <w:tc>
          <w:tcPr>
            <w:tcW w:w="6030" w:type="dxa"/>
            <w:shd w:val="clear" w:color="auto" w:fill="auto"/>
          </w:tcPr>
          <w:p w14:paraId="469C6DC8" w14:textId="77777777" w:rsidR="00CA4782" w:rsidRPr="00E86496" w:rsidRDefault="00CA4782" w:rsidP="00077B34">
            <w:pPr>
              <w:rPr>
                <w:rFonts w:cstheme="minorHAnsi"/>
                <w:szCs w:val="20"/>
              </w:rPr>
            </w:pPr>
            <w:r w:rsidRPr="00E86496">
              <w:rPr>
                <w:rFonts w:cstheme="minorHAnsi"/>
                <w:szCs w:val="20"/>
              </w:rPr>
              <w:t>The replacement of smooth V-belts in non-residential package rooftop HVAC systems with cogged V-belts</w:t>
            </w:r>
          </w:p>
        </w:tc>
      </w:tr>
      <w:tr w:rsidR="00CA4782" w:rsidRPr="00397406" w14:paraId="2A4B9866" w14:textId="77777777" w:rsidTr="00874AAE">
        <w:trPr>
          <w:cnfStyle w:val="000000010000" w:firstRow="0" w:lastRow="0" w:firstColumn="0" w:lastColumn="0" w:oddVBand="0" w:evenVBand="0" w:oddHBand="0" w:evenHBand="1" w:firstRowFirstColumn="0" w:firstRowLastColumn="0" w:lastRowFirstColumn="0" w:lastRowLastColumn="0"/>
          <w:trHeight w:val="465"/>
        </w:trPr>
        <w:tc>
          <w:tcPr>
            <w:tcW w:w="3618" w:type="dxa"/>
            <w:shd w:val="clear" w:color="auto" w:fill="auto"/>
          </w:tcPr>
          <w:p w14:paraId="13FF8601" w14:textId="77777777" w:rsidR="00CA4782" w:rsidRPr="00076F51" w:rsidRDefault="00CA4782" w:rsidP="005729C8">
            <w:pPr>
              <w:rPr>
                <w:rStyle w:val="Strong"/>
                <w:rFonts w:asciiTheme="minorHAnsi" w:hAnsiTheme="minorHAnsi"/>
                <w:sz w:val="20"/>
                <w:szCs w:val="20"/>
              </w:rPr>
            </w:pPr>
            <w:r w:rsidRPr="00076F51">
              <w:rPr>
                <w:rStyle w:val="Strong"/>
                <w:rFonts w:asciiTheme="minorHAnsi" w:hAnsiTheme="minorHAnsi"/>
                <w:sz w:val="20"/>
                <w:szCs w:val="20"/>
              </w:rPr>
              <w:t>Base Case Description:</w:t>
            </w:r>
          </w:p>
        </w:tc>
        <w:tc>
          <w:tcPr>
            <w:tcW w:w="6030" w:type="dxa"/>
            <w:shd w:val="clear" w:color="auto" w:fill="auto"/>
          </w:tcPr>
          <w:p w14:paraId="4CC485BE" w14:textId="59A527E8" w:rsidR="00CA4782" w:rsidRPr="00E86496" w:rsidRDefault="00E91AE6" w:rsidP="00077B34">
            <w:pPr>
              <w:rPr>
                <w:rFonts w:cstheme="minorHAnsi"/>
                <w:szCs w:val="20"/>
              </w:rPr>
            </w:pPr>
            <w:r>
              <w:rPr>
                <w:rFonts w:cstheme="minorHAnsi"/>
                <w:szCs w:val="20"/>
              </w:rPr>
              <w:t>Standard</w:t>
            </w:r>
            <w:r w:rsidR="00CA4782" w:rsidRPr="00E86496">
              <w:rPr>
                <w:rFonts w:cstheme="minorHAnsi"/>
                <w:szCs w:val="20"/>
              </w:rPr>
              <w:t xml:space="preserve"> smooth fan belts</w:t>
            </w:r>
          </w:p>
        </w:tc>
      </w:tr>
      <w:tr w:rsidR="00CA4782" w:rsidRPr="00397406" w14:paraId="343727E5" w14:textId="77777777" w:rsidTr="00874AAE">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shd w:val="clear" w:color="auto" w:fill="auto"/>
          </w:tcPr>
          <w:p w14:paraId="31225ABF" w14:textId="77777777" w:rsidR="00CA4782" w:rsidRPr="00076F51" w:rsidRDefault="00CA4782" w:rsidP="005729C8">
            <w:pPr>
              <w:rPr>
                <w:rStyle w:val="Strong"/>
                <w:rFonts w:asciiTheme="minorHAnsi" w:hAnsiTheme="minorHAnsi"/>
                <w:sz w:val="20"/>
                <w:szCs w:val="20"/>
              </w:rPr>
            </w:pPr>
            <w:r w:rsidRPr="00076F51">
              <w:rPr>
                <w:rStyle w:val="Strong"/>
                <w:rFonts w:asciiTheme="minorHAnsi" w:hAnsiTheme="minorHAnsi"/>
                <w:sz w:val="20"/>
                <w:szCs w:val="20"/>
              </w:rPr>
              <w:t>Units:</w:t>
            </w:r>
          </w:p>
        </w:tc>
        <w:tc>
          <w:tcPr>
            <w:tcW w:w="6030" w:type="dxa"/>
            <w:shd w:val="clear" w:color="auto" w:fill="auto"/>
          </w:tcPr>
          <w:p w14:paraId="0E001520" w14:textId="2FF8D602" w:rsidR="00CA4782" w:rsidRPr="00E86496" w:rsidRDefault="005A2EFE" w:rsidP="00077B34">
            <w:pPr>
              <w:rPr>
                <w:rFonts w:cstheme="minorHAnsi"/>
                <w:szCs w:val="20"/>
              </w:rPr>
            </w:pPr>
            <w:r>
              <w:rPr>
                <w:rFonts w:cstheme="minorHAnsi"/>
                <w:szCs w:val="20"/>
              </w:rPr>
              <w:t>P</w:t>
            </w:r>
            <w:r w:rsidR="00CA4782">
              <w:rPr>
                <w:rFonts w:cstheme="minorHAnsi"/>
                <w:szCs w:val="20"/>
              </w:rPr>
              <w:t>er ton</w:t>
            </w:r>
          </w:p>
        </w:tc>
      </w:tr>
      <w:tr w:rsidR="00290ED8" w:rsidRPr="00397406" w14:paraId="70C3C131" w14:textId="77777777" w:rsidTr="00874AAE">
        <w:trPr>
          <w:cnfStyle w:val="000000010000" w:firstRow="0" w:lastRow="0" w:firstColumn="0" w:lastColumn="0" w:oddVBand="0" w:evenVBand="0" w:oddHBand="0" w:evenHBand="1" w:firstRowFirstColumn="0" w:firstRowLastColumn="0" w:lastRowFirstColumn="0" w:lastRowLastColumn="0"/>
          <w:trHeight w:val="465"/>
        </w:trPr>
        <w:tc>
          <w:tcPr>
            <w:tcW w:w="3618" w:type="dxa"/>
            <w:shd w:val="clear" w:color="auto" w:fill="auto"/>
          </w:tcPr>
          <w:p w14:paraId="430249AB" w14:textId="77777777" w:rsidR="00290ED8" w:rsidRPr="00076F51" w:rsidRDefault="001C1338" w:rsidP="005729C8">
            <w:pPr>
              <w:rPr>
                <w:rStyle w:val="Strong1"/>
                <w:szCs w:val="20"/>
              </w:rPr>
            </w:pPr>
            <w:r w:rsidRPr="00076F51">
              <w:rPr>
                <w:rStyle w:val="Strong"/>
                <w:rFonts w:asciiTheme="minorHAnsi" w:hAnsiTheme="minorHAnsi"/>
                <w:sz w:val="20"/>
                <w:szCs w:val="20"/>
              </w:rPr>
              <w:t>Energy Savings</w:t>
            </w:r>
            <w:r w:rsidR="00290ED8" w:rsidRPr="00076F51">
              <w:rPr>
                <w:rStyle w:val="Strong"/>
                <w:rFonts w:asciiTheme="minorHAnsi" w:hAnsiTheme="minorHAnsi"/>
                <w:sz w:val="20"/>
                <w:szCs w:val="20"/>
              </w:rPr>
              <w:t>:</w:t>
            </w:r>
          </w:p>
        </w:tc>
        <w:tc>
          <w:tcPr>
            <w:tcW w:w="6030" w:type="dxa"/>
            <w:shd w:val="clear" w:color="auto" w:fill="auto"/>
          </w:tcPr>
          <w:p w14:paraId="49D0F7EB" w14:textId="071712FC" w:rsidR="00290ED8" w:rsidRPr="00426CDE" w:rsidRDefault="00D36798" w:rsidP="005729C8">
            <w:pPr>
              <w:rPr>
                <w:rFonts w:cs="Arial"/>
                <w:szCs w:val="20"/>
              </w:rPr>
            </w:pPr>
            <w:r w:rsidRPr="00426CDE">
              <w:rPr>
                <w:rFonts w:cs="Arial"/>
                <w:szCs w:val="20"/>
              </w:rPr>
              <w:t>Refer to Excel Calculation Attachment</w:t>
            </w:r>
            <w:r w:rsidR="00E46086">
              <w:rPr>
                <w:rFonts w:cs="Arial"/>
                <w:szCs w:val="20"/>
              </w:rPr>
              <w:t xml:space="preserve"> 1</w:t>
            </w:r>
          </w:p>
        </w:tc>
      </w:tr>
      <w:tr w:rsidR="00290ED8" w:rsidRPr="00397406" w14:paraId="753D3AB7" w14:textId="77777777" w:rsidTr="00874AAE">
        <w:trPr>
          <w:cnfStyle w:val="000000100000" w:firstRow="0" w:lastRow="0" w:firstColumn="0" w:lastColumn="0" w:oddVBand="0" w:evenVBand="0" w:oddHBand="1" w:evenHBand="0" w:firstRowFirstColumn="0" w:firstRowLastColumn="0" w:lastRowFirstColumn="0" w:lastRowLastColumn="0"/>
          <w:trHeight w:val="465"/>
        </w:trPr>
        <w:tc>
          <w:tcPr>
            <w:tcW w:w="3618" w:type="dxa"/>
            <w:shd w:val="clear" w:color="auto" w:fill="auto"/>
          </w:tcPr>
          <w:p w14:paraId="20D7784D" w14:textId="7836E5B0" w:rsidR="00290ED8" w:rsidRPr="00076F51" w:rsidRDefault="004E4863" w:rsidP="005729C8">
            <w:pPr>
              <w:rPr>
                <w:rStyle w:val="Strong"/>
                <w:rFonts w:asciiTheme="minorHAnsi" w:hAnsiTheme="minorHAnsi"/>
                <w:sz w:val="20"/>
                <w:szCs w:val="20"/>
              </w:rPr>
            </w:pPr>
            <w:r>
              <w:rPr>
                <w:rStyle w:val="Strong"/>
                <w:rFonts w:asciiTheme="minorHAnsi" w:hAnsiTheme="minorHAnsi"/>
                <w:sz w:val="20"/>
                <w:szCs w:val="20"/>
              </w:rPr>
              <w:t>Full</w:t>
            </w:r>
            <w:r w:rsidRPr="00076F51">
              <w:rPr>
                <w:rStyle w:val="Strong"/>
                <w:rFonts w:asciiTheme="minorHAnsi" w:hAnsiTheme="minorHAnsi"/>
                <w:sz w:val="20"/>
                <w:szCs w:val="20"/>
              </w:rPr>
              <w:t xml:space="preserve"> </w:t>
            </w:r>
            <w:r w:rsidR="00290ED8" w:rsidRPr="00076F51">
              <w:rPr>
                <w:rStyle w:val="Strong"/>
                <w:rFonts w:asciiTheme="minorHAnsi" w:hAnsiTheme="minorHAnsi"/>
                <w:sz w:val="20"/>
                <w:szCs w:val="20"/>
              </w:rPr>
              <w:t>Measure Cost ($/unit)</w:t>
            </w:r>
            <w:r w:rsidR="001C1338" w:rsidRPr="00076F51">
              <w:rPr>
                <w:rStyle w:val="Strong"/>
                <w:rFonts w:asciiTheme="minorHAnsi" w:hAnsiTheme="minorHAnsi"/>
                <w:sz w:val="20"/>
                <w:szCs w:val="20"/>
              </w:rPr>
              <w:t>:</w:t>
            </w:r>
          </w:p>
        </w:tc>
        <w:tc>
          <w:tcPr>
            <w:tcW w:w="6030" w:type="dxa"/>
            <w:shd w:val="clear" w:color="auto" w:fill="auto"/>
          </w:tcPr>
          <w:p w14:paraId="052EF36C" w14:textId="78679704" w:rsidR="00290ED8" w:rsidRPr="00426CDE" w:rsidRDefault="00D36798" w:rsidP="005729C8">
            <w:pPr>
              <w:rPr>
                <w:rFonts w:cs="Arial"/>
                <w:szCs w:val="20"/>
              </w:rPr>
            </w:pPr>
            <w:r w:rsidRPr="00426CDE">
              <w:rPr>
                <w:rFonts w:cs="Arial"/>
                <w:szCs w:val="20"/>
              </w:rPr>
              <w:t>Refer to Excel Calculation Attachment</w:t>
            </w:r>
            <w:r w:rsidR="00E46086">
              <w:rPr>
                <w:rFonts w:cs="Arial"/>
                <w:szCs w:val="20"/>
              </w:rPr>
              <w:t xml:space="preserve"> 1</w:t>
            </w:r>
            <w:r w:rsidR="009B7CF1">
              <w:rPr>
                <w:rFonts w:cs="Arial"/>
                <w:szCs w:val="20"/>
              </w:rPr>
              <w:t xml:space="preserve"> and 3</w:t>
            </w:r>
          </w:p>
        </w:tc>
      </w:tr>
      <w:tr w:rsidR="00AC5309" w:rsidRPr="00397406" w14:paraId="3EA53A0E" w14:textId="77777777" w:rsidTr="00874AAE">
        <w:trPr>
          <w:cnfStyle w:val="000000010000" w:firstRow="0" w:lastRow="0" w:firstColumn="0" w:lastColumn="0" w:oddVBand="0" w:evenVBand="0" w:oddHBand="0" w:evenHBand="1" w:firstRowFirstColumn="0" w:firstRowLastColumn="0" w:lastRowFirstColumn="0" w:lastRowLastColumn="0"/>
          <w:trHeight w:val="465"/>
        </w:trPr>
        <w:tc>
          <w:tcPr>
            <w:tcW w:w="3618" w:type="dxa"/>
            <w:shd w:val="clear" w:color="auto" w:fill="auto"/>
          </w:tcPr>
          <w:p w14:paraId="49027F6F" w14:textId="6D167E68" w:rsidR="00290ED8" w:rsidRPr="00076F51" w:rsidRDefault="00290ED8" w:rsidP="005729C8">
            <w:pPr>
              <w:rPr>
                <w:rStyle w:val="Strong"/>
                <w:rFonts w:asciiTheme="minorHAnsi" w:hAnsiTheme="minorHAnsi"/>
                <w:sz w:val="20"/>
                <w:szCs w:val="20"/>
              </w:rPr>
            </w:pPr>
            <w:r w:rsidRPr="00076F51">
              <w:rPr>
                <w:rStyle w:val="Strong"/>
                <w:rFonts w:asciiTheme="minorHAnsi" w:hAnsiTheme="minorHAnsi"/>
                <w:sz w:val="20"/>
                <w:szCs w:val="20"/>
              </w:rPr>
              <w:t xml:space="preserve">Incremental </w:t>
            </w:r>
            <w:r w:rsidR="004E4863">
              <w:rPr>
                <w:rStyle w:val="Strong"/>
                <w:rFonts w:asciiTheme="minorHAnsi" w:hAnsiTheme="minorHAnsi"/>
                <w:sz w:val="20"/>
                <w:szCs w:val="20"/>
              </w:rPr>
              <w:t xml:space="preserve">Measure </w:t>
            </w:r>
            <w:r w:rsidRPr="00076F51">
              <w:rPr>
                <w:rStyle w:val="Strong"/>
                <w:rFonts w:asciiTheme="minorHAnsi" w:hAnsiTheme="minorHAnsi"/>
                <w:sz w:val="20"/>
                <w:szCs w:val="20"/>
              </w:rPr>
              <w:t xml:space="preserve">Cost ($/unit): </w:t>
            </w:r>
          </w:p>
        </w:tc>
        <w:tc>
          <w:tcPr>
            <w:tcW w:w="6030" w:type="dxa"/>
            <w:shd w:val="clear" w:color="auto" w:fill="auto"/>
          </w:tcPr>
          <w:p w14:paraId="7FDF9006" w14:textId="39196BD1" w:rsidR="00290ED8" w:rsidRPr="00426CDE" w:rsidRDefault="00D36798" w:rsidP="005729C8">
            <w:pPr>
              <w:rPr>
                <w:rFonts w:cs="Arial"/>
                <w:szCs w:val="20"/>
              </w:rPr>
            </w:pPr>
            <w:r w:rsidRPr="00426CDE">
              <w:rPr>
                <w:rFonts w:cs="Arial"/>
                <w:szCs w:val="20"/>
              </w:rPr>
              <w:t>Refer to Excel Calculation Attachment</w:t>
            </w:r>
            <w:r w:rsidR="00E46086">
              <w:rPr>
                <w:rFonts w:cs="Arial"/>
                <w:szCs w:val="20"/>
              </w:rPr>
              <w:t xml:space="preserve"> 1</w:t>
            </w:r>
            <w:r w:rsidR="009B7CF1">
              <w:rPr>
                <w:rFonts w:cs="Arial"/>
                <w:szCs w:val="20"/>
              </w:rPr>
              <w:t xml:space="preserve"> and 3</w:t>
            </w:r>
          </w:p>
        </w:tc>
      </w:tr>
      <w:tr w:rsidR="00CA4782" w:rsidRPr="00397406" w14:paraId="2E453573" w14:textId="77777777" w:rsidTr="00874AAE">
        <w:trPr>
          <w:cnfStyle w:val="000000100000" w:firstRow="0" w:lastRow="0" w:firstColumn="0" w:lastColumn="0" w:oddVBand="0" w:evenVBand="0" w:oddHBand="1" w:evenHBand="0" w:firstRowFirstColumn="0" w:firstRowLastColumn="0" w:lastRowFirstColumn="0" w:lastRowLastColumn="0"/>
          <w:trHeight w:val="465"/>
        </w:trPr>
        <w:tc>
          <w:tcPr>
            <w:tcW w:w="3618" w:type="dxa"/>
            <w:shd w:val="clear" w:color="auto" w:fill="auto"/>
          </w:tcPr>
          <w:p w14:paraId="63B0F8EF" w14:textId="77777777" w:rsidR="00CA4782" w:rsidRPr="00076F51" w:rsidRDefault="00CA4782" w:rsidP="005729C8">
            <w:pPr>
              <w:rPr>
                <w:rStyle w:val="Strong"/>
                <w:rFonts w:asciiTheme="minorHAnsi" w:hAnsiTheme="minorHAnsi"/>
                <w:sz w:val="20"/>
                <w:szCs w:val="20"/>
              </w:rPr>
            </w:pPr>
            <w:r w:rsidRPr="00076F51">
              <w:rPr>
                <w:rStyle w:val="Strong"/>
                <w:rFonts w:asciiTheme="minorHAnsi" w:hAnsiTheme="minorHAnsi"/>
                <w:sz w:val="20"/>
                <w:szCs w:val="20"/>
              </w:rPr>
              <w:t>Effective Useful Life:</w:t>
            </w:r>
          </w:p>
        </w:tc>
        <w:tc>
          <w:tcPr>
            <w:tcW w:w="6030" w:type="dxa"/>
            <w:shd w:val="clear" w:color="auto" w:fill="auto"/>
          </w:tcPr>
          <w:p w14:paraId="174ADE77" w14:textId="1F712860" w:rsidR="00CA4782" w:rsidRPr="00E86496" w:rsidRDefault="00CA4782">
            <w:pPr>
              <w:rPr>
                <w:rFonts w:cstheme="minorHAnsi"/>
                <w:szCs w:val="20"/>
              </w:rPr>
            </w:pPr>
            <w:r w:rsidRPr="00E86496">
              <w:rPr>
                <w:rFonts w:cstheme="minorHAnsi"/>
                <w:szCs w:val="20"/>
              </w:rPr>
              <w:t>2.7 to 5 years, depending on building type</w:t>
            </w:r>
            <w:r>
              <w:rPr>
                <w:rFonts w:cstheme="minorHAnsi"/>
                <w:szCs w:val="20"/>
              </w:rPr>
              <w:t xml:space="preserve"> - EUL ID: HV-CoggedBelt (</w:t>
            </w:r>
            <w:r w:rsidR="00C25E2E">
              <w:rPr>
                <w:rFonts w:cstheme="minorHAnsi"/>
                <w:szCs w:val="20"/>
              </w:rPr>
              <w:t>EUL for</w:t>
            </w:r>
            <w:r>
              <w:rPr>
                <w:rFonts w:cstheme="minorHAnsi"/>
                <w:szCs w:val="20"/>
              </w:rPr>
              <w:t xml:space="preserve"> building types</w:t>
            </w:r>
            <w:r w:rsidR="00C25E2E">
              <w:rPr>
                <w:rFonts w:cstheme="minorHAnsi"/>
                <w:szCs w:val="20"/>
              </w:rPr>
              <w:t xml:space="preserve"> not available on READi Tool v2.4.7 are </w:t>
            </w:r>
            <w:r w:rsidR="00F10144">
              <w:rPr>
                <w:rFonts w:cstheme="minorHAnsi"/>
                <w:szCs w:val="20"/>
              </w:rPr>
              <w:t>adopted</w:t>
            </w:r>
            <w:r w:rsidR="00C25E2E">
              <w:rPr>
                <w:rFonts w:cstheme="minorHAnsi"/>
                <w:szCs w:val="20"/>
              </w:rPr>
              <w:t xml:space="preserve"> from previous version of the workpaper</w:t>
            </w:r>
            <w:r w:rsidR="00DD0194">
              <w:rPr>
                <w:rFonts w:cstheme="minorHAnsi"/>
                <w:szCs w:val="20"/>
              </w:rPr>
              <w:t xml:space="preserve"> - </w:t>
            </w:r>
            <w:r w:rsidR="00C25E2E">
              <w:rPr>
                <w:rFonts w:cstheme="minorHAnsi"/>
                <w:szCs w:val="20"/>
              </w:rPr>
              <w:t>SCE13HC040.2</w:t>
            </w:r>
            <w:r w:rsidR="00F10144">
              <w:rPr>
                <w:rFonts w:cstheme="minorHAnsi"/>
                <w:szCs w:val="20"/>
              </w:rPr>
              <w:t xml:space="preserve"> and described in corresponding Section 1.1 herein</w:t>
            </w:r>
            <w:r>
              <w:rPr>
                <w:rFonts w:cstheme="minorHAnsi"/>
                <w:szCs w:val="20"/>
              </w:rPr>
              <w:t>)</w:t>
            </w:r>
          </w:p>
        </w:tc>
      </w:tr>
      <w:tr w:rsidR="00CA4782" w:rsidRPr="00397406" w14:paraId="6E07BF62" w14:textId="77777777" w:rsidTr="00874AAE">
        <w:trPr>
          <w:cnfStyle w:val="000000010000" w:firstRow="0" w:lastRow="0" w:firstColumn="0" w:lastColumn="0" w:oddVBand="0" w:evenVBand="0" w:oddHBand="0" w:evenHBand="1" w:firstRowFirstColumn="0" w:firstRowLastColumn="0" w:lastRowFirstColumn="0" w:lastRowLastColumn="0"/>
          <w:trHeight w:val="465"/>
        </w:trPr>
        <w:tc>
          <w:tcPr>
            <w:tcW w:w="3618" w:type="dxa"/>
            <w:shd w:val="clear" w:color="auto" w:fill="auto"/>
          </w:tcPr>
          <w:p w14:paraId="30205BCA" w14:textId="77777777" w:rsidR="00CA4782" w:rsidRPr="00076F51" w:rsidRDefault="00CA4782" w:rsidP="005729C8">
            <w:pPr>
              <w:rPr>
                <w:rStyle w:val="Strong"/>
                <w:rFonts w:asciiTheme="minorHAnsi" w:hAnsiTheme="minorHAnsi"/>
                <w:sz w:val="20"/>
                <w:szCs w:val="20"/>
              </w:rPr>
            </w:pPr>
            <w:r w:rsidRPr="00076F51">
              <w:rPr>
                <w:rStyle w:val="Strong"/>
                <w:rFonts w:asciiTheme="minorHAnsi" w:hAnsiTheme="minorHAnsi"/>
                <w:sz w:val="20"/>
                <w:szCs w:val="20"/>
              </w:rPr>
              <w:t>Measure Application Type:</w:t>
            </w:r>
          </w:p>
        </w:tc>
        <w:tc>
          <w:tcPr>
            <w:tcW w:w="6030" w:type="dxa"/>
            <w:shd w:val="clear" w:color="auto" w:fill="auto"/>
          </w:tcPr>
          <w:p w14:paraId="646E1425" w14:textId="118BF7E1" w:rsidR="00CA4782" w:rsidRPr="00E86496" w:rsidRDefault="0055255A" w:rsidP="00077B34">
            <w:pPr>
              <w:rPr>
                <w:rFonts w:cstheme="minorHAnsi"/>
                <w:szCs w:val="20"/>
              </w:rPr>
            </w:pPr>
            <w:r>
              <w:rPr>
                <w:rFonts w:cstheme="minorHAnsi"/>
                <w:szCs w:val="20"/>
              </w:rPr>
              <w:t>Replace on Burnout</w:t>
            </w:r>
            <w:r w:rsidR="009570CF">
              <w:rPr>
                <w:rFonts w:cstheme="minorHAnsi"/>
                <w:szCs w:val="20"/>
              </w:rPr>
              <w:t xml:space="preserve"> (ROB)</w:t>
            </w:r>
          </w:p>
        </w:tc>
      </w:tr>
      <w:tr w:rsidR="00CA4782" w:rsidRPr="00397406" w14:paraId="2BDF15B2" w14:textId="77777777" w:rsidTr="00874AAE">
        <w:trPr>
          <w:cnfStyle w:val="000000100000" w:firstRow="0" w:lastRow="0" w:firstColumn="0" w:lastColumn="0" w:oddVBand="0" w:evenVBand="0" w:oddHBand="1" w:evenHBand="0" w:firstRowFirstColumn="0" w:firstRowLastColumn="0" w:lastRowFirstColumn="0" w:lastRowLastColumn="0"/>
          <w:trHeight w:val="465"/>
        </w:trPr>
        <w:tc>
          <w:tcPr>
            <w:tcW w:w="3618" w:type="dxa"/>
            <w:shd w:val="clear" w:color="auto" w:fill="auto"/>
          </w:tcPr>
          <w:p w14:paraId="3A45FAAD" w14:textId="77777777" w:rsidR="00CA4782" w:rsidRPr="00076F51" w:rsidRDefault="00CA4782" w:rsidP="005729C8">
            <w:pPr>
              <w:rPr>
                <w:rStyle w:val="Strong"/>
                <w:rFonts w:asciiTheme="minorHAnsi" w:hAnsiTheme="minorHAnsi"/>
                <w:sz w:val="20"/>
                <w:szCs w:val="20"/>
              </w:rPr>
            </w:pPr>
            <w:r w:rsidRPr="00076F51">
              <w:rPr>
                <w:rStyle w:val="Strong"/>
                <w:rFonts w:asciiTheme="minorHAnsi" w:hAnsiTheme="minorHAnsi"/>
                <w:sz w:val="20"/>
                <w:szCs w:val="20"/>
              </w:rPr>
              <w:t xml:space="preserve">Net-to-Gross Ratio: </w:t>
            </w:r>
          </w:p>
        </w:tc>
        <w:tc>
          <w:tcPr>
            <w:tcW w:w="6030" w:type="dxa"/>
            <w:shd w:val="clear" w:color="auto" w:fill="auto"/>
          </w:tcPr>
          <w:p w14:paraId="29AEA43A" w14:textId="65238B0A" w:rsidR="00CA4782" w:rsidRPr="00E86496" w:rsidRDefault="00CA4782" w:rsidP="00077B34">
            <w:pPr>
              <w:rPr>
                <w:rFonts w:cstheme="minorHAnsi"/>
                <w:szCs w:val="20"/>
              </w:rPr>
            </w:pPr>
            <w:r>
              <w:rPr>
                <w:rFonts w:cstheme="minorHAnsi"/>
                <w:szCs w:val="20"/>
              </w:rPr>
              <w:t>0.6</w:t>
            </w:r>
            <w:r w:rsidR="00874AAE">
              <w:rPr>
                <w:rFonts w:cstheme="minorHAnsi"/>
                <w:szCs w:val="20"/>
              </w:rPr>
              <w:t xml:space="preserve">0; </w:t>
            </w:r>
            <w:r>
              <w:rPr>
                <w:rFonts w:cstheme="minorHAnsi"/>
                <w:szCs w:val="20"/>
              </w:rPr>
              <w:t xml:space="preserve">NTG ID: </w:t>
            </w:r>
            <w:r w:rsidRPr="000D4D3E">
              <w:rPr>
                <w:rFonts w:cstheme="minorHAnsi"/>
                <w:szCs w:val="20"/>
              </w:rPr>
              <w:t>Com-Default&gt;2yrs</w:t>
            </w:r>
          </w:p>
        </w:tc>
      </w:tr>
      <w:tr w:rsidR="00290ED8" w:rsidRPr="00397406" w14:paraId="37DA8938" w14:textId="77777777" w:rsidTr="00874AAE">
        <w:trPr>
          <w:cnfStyle w:val="000000010000" w:firstRow="0" w:lastRow="0" w:firstColumn="0" w:lastColumn="0" w:oddVBand="0" w:evenVBand="0" w:oddHBand="0" w:evenHBand="1" w:firstRowFirstColumn="0" w:firstRowLastColumn="0" w:lastRowFirstColumn="0" w:lastRowLastColumn="0"/>
          <w:trHeight w:val="465"/>
        </w:trPr>
        <w:tc>
          <w:tcPr>
            <w:tcW w:w="3618" w:type="dxa"/>
            <w:shd w:val="clear" w:color="auto" w:fill="auto"/>
          </w:tcPr>
          <w:p w14:paraId="2850123A" w14:textId="77777777" w:rsidR="00290ED8" w:rsidRPr="00076F51" w:rsidRDefault="00290ED8" w:rsidP="005729C8">
            <w:pPr>
              <w:rPr>
                <w:rStyle w:val="Strong"/>
                <w:rFonts w:asciiTheme="minorHAnsi" w:hAnsiTheme="minorHAnsi"/>
                <w:sz w:val="20"/>
                <w:szCs w:val="20"/>
              </w:rPr>
            </w:pPr>
            <w:r w:rsidRPr="00076F51">
              <w:rPr>
                <w:rStyle w:val="Strong"/>
                <w:rFonts w:asciiTheme="minorHAnsi" w:hAnsiTheme="minorHAnsi"/>
                <w:sz w:val="20"/>
                <w:szCs w:val="20"/>
              </w:rPr>
              <w:t>Important Comments:</w:t>
            </w:r>
          </w:p>
        </w:tc>
        <w:tc>
          <w:tcPr>
            <w:tcW w:w="6030" w:type="dxa"/>
            <w:shd w:val="clear" w:color="auto" w:fill="auto"/>
          </w:tcPr>
          <w:p w14:paraId="3144CF89" w14:textId="22C62C0D" w:rsidR="008D0D4C" w:rsidRPr="00874AAE" w:rsidRDefault="004E4863" w:rsidP="005729C8">
            <w:pPr>
              <w:rPr>
                <w:szCs w:val="22"/>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r>
    </w:tbl>
    <w:p w14:paraId="55CF0A00" w14:textId="77777777" w:rsidR="00AC5309" w:rsidRPr="00397406" w:rsidRDefault="00AC5309">
      <w:pPr>
        <w:spacing w:after="200" w:line="276" w:lineRule="auto"/>
        <w:rPr>
          <w:rFonts w:cstheme="minorHAnsi"/>
          <w:b/>
          <w:bCs/>
          <w:smallCaps/>
          <w:kern w:val="32"/>
          <w:sz w:val="36"/>
          <w:szCs w:val="32"/>
        </w:rPr>
      </w:pPr>
    </w:p>
    <w:p w14:paraId="6276B4C0" w14:textId="77777777" w:rsidR="00F3203F" w:rsidRDefault="00AC5309" w:rsidP="00F3203F">
      <w:pPr>
        <w:pStyle w:val="Heading1"/>
      </w:pPr>
      <w:r w:rsidRPr="00397406">
        <w:rPr>
          <w:rFonts w:cstheme="minorHAnsi"/>
        </w:rPr>
        <w:br w:type="page"/>
      </w:r>
      <w:r w:rsidR="00F3203F">
        <w:lastRenderedPageBreak/>
        <w:t>Revision History</w:t>
      </w:r>
    </w:p>
    <w:tbl>
      <w:tblPr>
        <w:tblStyle w:val="TableContemporar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
        <w:gridCol w:w="1414"/>
        <w:gridCol w:w="1846"/>
        <w:gridCol w:w="5028"/>
      </w:tblGrid>
      <w:tr w:rsidR="00933188" w:rsidRPr="00397406" w14:paraId="0DB9A5C8" w14:textId="77777777" w:rsidTr="00874AAE">
        <w:trPr>
          <w:cnfStyle w:val="100000000000" w:firstRow="1" w:lastRow="0" w:firstColumn="0" w:lastColumn="0" w:oddVBand="0" w:evenVBand="0" w:oddHBand="0" w:evenHBand="0" w:firstRowFirstColumn="0" w:firstRowLastColumn="0" w:lastRowFirstColumn="0" w:lastRowLastColumn="0"/>
          <w:trHeight w:val="298"/>
        </w:trPr>
        <w:tc>
          <w:tcPr>
            <w:tcW w:w="568" w:type="pct"/>
          </w:tcPr>
          <w:p w14:paraId="3D9285F9" w14:textId="273A3C1B" w:rsidR="00933188" w:rsidRPr="00397406" w:rsidRDefault="00933188" w:rsidP="005729C8">
            <w:pPr>
              <w:rPr>
                <w:rFonts w:cstheme="minorHAnsi"/>
                <w:b w:val="0"/>
                <w:bCs w:val="0"/>
                <w:szCs w:val="20"/>
              </w:rPr>
            </w:pPr>
            <w:r w:rsidRPr="00397406">
              <w:rPr>
                <w:rFonts w:cstheme="minorHAnsi"/>
                <w:szCs w:val="20"/>
              </w:rPr>
              <w:t>Rev</w:t>
            </w:r>
          </w:p>
        </w:tc>
        <w:tc>
          <w:tcPr>
            <w:tcW w:w="756" w:type="pct"/>
          </w:tcPr>
          <w:p w14:paraId="392A76A4" w14:textId="00209F38" w:rsidR="00933188" w:rsidRPr="00397406" w:rsidRDefault="00933188" w:rsidP="005729C8">
            <w:pPr>
              <w:rPr>
                <w:rFonts w:cstheme="minorHAnsi"/>
                <w:b w:val="0"/>
                <w:bCs w:val="0"/>
                <w:szCs w:val="20"/>
              </w:rPr>
            </w:pPr>
            <w:r w:rsidRPr="00397406">
              <w:rPr>
                <w:rFonts w:cstheme="minorHAnsi"/>
                <w:szCs w:val="20"/>
              </w:rPr>
              <w:t>Date</w:t>
            </w:r>
          </w:p>
        </w:tc>
        <w:tc>
          <w:tcPr>
            <w:tcW w:w="987" w:type="pct"/>
          </w:tcPr>
          <w:p w14:paraId="2D16504A" w14:textId="7E88DECA" w:rsidR="00933188" w:rsidRPr="00397406" w:rsidRDefault="00933188" w:rsidP="004E4863">
            <w:pPr>
              <w:rPr>
                <w:rFonts w:cstheme="minorHAnsi"/>
                <w:b w:val="0"/>
                <w:bCs w:val="0"/>
                <w:szCs w:val="20"/>
              </w:rPr>
            </w:pPr>
            <w:r w:rsidRPr="00397406">
              <w:rPr>
                <w:rFonts w:cstheme="minorHAnsi"/>
                <w:szCs w:val="20"/>
              </w:rPr>
              <w:t>Author</w:t>
            </w:r>
          </w:p>
        </w:tc>
        <w:tc>
          <w:tcPr>
            <w:tcW w:w="2688" w:type="pct"/>
          </w:tcPr>
          <w:p w14:paraId="4C12F123" w14:textId="77777777" w:rsidR="00933188" w:rsidRPr="00397406" w:rsidRDefault="00933188" w:rsidP="005729C8">
            <w:pPr>
              <w:rPr>
                <w:rFonts w:cstheme="minorHAnsi"/>
                <w:b w:val="0"/>
                <w:bCs w:val="0"/>
                <w:szCs w:val="20"/>
              </w:rPr>
            </w:pPr>
            <w:r w:rsidRPr="00397406">
              <w:rPr>
                <w:rFonts w:cstheme="minorHAnsi"/>
                <w:szCs w:val="20"/>
              </w:rPr>
              <w:t>Summary of Changes</w:t>
            </w:r>
          </w:p>
        </w:tc>
      </w:tr>
      <w:tr w:rsidR="00077B34" w:rsidRPr="00397406" w14:paraId="55854A2F" w14:textId="77777777" w:rsidTr="00874AAE">
        <w:trPr>
          <w:cnfStyle w:val="000000100000" w:firstRow="0" w:lastRow="0" w:firstColumn="0" w:lastColumn="0" w:oddVBand="0" w:evenVBand="0" w:oddHBand="1" w:evenHBand="0" w:firstRowFirstColumn="0" w:firstRowLastColumn="0" w:lastRowFirstColumn="0" w:lastRowLastColumn="0"/>
          <w:trHeight w:val="325"/>
        </w:trPr>
        <w:tc>
          <w:tcPr>
            <w:tcW w:w="568" w:type="pct"/>
            <w:shd w:val="clear" w:color="auto" w:fill="auto"/>
          </w:tcPr>
          <w:p w14:paraId="2619A9DF" w14:textId="77777777" w:rsidR="00077B34" w:rsidRPr="00397406" w:rsidRDefault="00077B34" w:rsidP="005729C8">
            <w:pPr>
              <w:rPr>
                <w:rFonts w:cstheme="minorHAnsi"/>
                <w:szCs w:val="20"/>
              </w:rPr>
            </w:pPr>
            <w:r w:rsidRPr="00397406">
              <w:rPr>
                <w:rFonts w:cstheme="minorHAnsi"/>
                <w:szCs w:val="20"/>
              </w:rPr>
              <w:t>0</w:t>
            </w:r>
          </w:p>
        </w:tc>
        <w:tc>
          <w:tcPr>
            <w:tcW w:w="756" w:type="pct"/>
            <w:shd w:val="clear" w:color="auto" w:fill="auto"/>
          </w:tcPr>
          <w:p w14:paraId="41969D0A" w14:textId="63D7D51B" w:rsidR="00077B34" w:rsidRPr="00397406" w:rsidRDefault="004E4863" w:rsidP="005729C8">
            <w:pPr>
              <w:rPr>
                <w:rFonts w:cstheme="minorHAnsi"/>
                <w:szCs w:val="20"/>
              </w:rPr>
            </w:pPr>
            <w:r>
              <w:rPr>
                <w:rFonts w:cstheme="minorHAnsi"/>
                <w:szCs w:val="20"/>
              </w:rPr>
              <w:t>12/26/2017</w:t>
            </w:r>
          </w:p>
        </w:tc>
        <w:tc>
          <w:tcPr>
            <w:tcW w:w="987" w:type="pct"/>
            <w:shd w:val="clear" w:color="auto" w:fill="auto"/>
          </w:tcPr>
          <w:p w14:paraId="4A1357FB" w14:textId="6A176045" w:rsidR="00077B34" w:rsidRPr="00697868" w:rsidRDefault="004E4863" w:rsidP="00077B34">
            <w:pPr>
              <w:rPr>
                <w:rFonts w:cstheme="minorHAnsi"/>
                <w:szCs w:val="20"/>
              </w:rPr>
            </w:pPr>
            <w:r>
              <w:rPr>
                <w:rFonts w:cstheme="minorHAnsi"/>
                <w:szCs w:val="20"/>
              </w:rPr>
              <w:t>Arvind Subramanya/TRC</w:t>
            </w:r>
          </w:p>
        </w:tc>
        <w:tc>
          <w:tcPr>
            <w:tcW w:w="2688" w:type="pct"/>
            <w:shd w:val="clear" w:color="auto" w:fill="auto"/>
          </w:tcPr>
          <w:p w14:paraId="72061446" w14:textId="5851D3E7" w:rsidR="004E4863" w:rsidRDefault="004E4863" w:rsidP="004E4863">
            <w:r>
              <w:t xml:space="preserve">- This work paper is an update of </w:t>
            </w:r>
            <w:r w:rsidRPr="002F055E">
              <w:t>SCE13HC0</w:t>
            </w:r>
            <w:r>
              <w:t>40</w:t>
            </w:r>
            <w:r w:rsidRPr="002F055E">
              <w:t>.</w:t>
            </w:r>
            <w:r>
              <w:t>2</w:t>
            </w:r>
          </w:p>
          <w:p w14:paraId="6E44BC9C" w14:textId="2D617E6B" w:rsidR="004E4863" w:rsidRDefault="004E4863" w:rsidP="004E4863">
            <w:r>
              <w:t xml:space="preserve">- </w:t>
            </w:r>
            <w:r w:rsidR="00DA658B">
              <w:t>Updated with n</w:t>
            </w:r>
            <w:r>
              <w:t xml:space="preserve">ew </w:t>
            </w:r>
            <w:r w:rsidR="00DA658B">
              <w:t xml:space="preserve">2017 </w:t>
            </w:r>
            <w:r>
              <w:t>calculation template</w:t>
            </w:r>
          </w:p>
          <w:p w14:paraId="5E049E30" w14:textId="7009AF05" w:rsidR="004E4863" w:rsidRDefault="004E4863" w:rsidP="004E4863">
            <w:r>
              <w:t xml:space="preserve">- </w:t>
            </w:r>
            <w:r w:rsidR="00DA658B">
              <w:t>U</w:t>
            </w:r>
            <w:r>
              <w:t>pdated 2016 Title-24 code</w:t>
            </w:r>
            <w:r w:rsidR="00DA658B">
              <w:t xml:space="preserve"> </w:t>
            </w:r>
            <w:r>
              <w:t xml:space="preserve">language. </w:t>
            </w:r>
          </w:p>
          <w:p w14:paraId="72357878" w14:textId="2537BC92" w:rsidR="004E4863" w:rsidRDefault="004E4863" w:rsidP="004E4863">
            <w:r>
              <w:t xml:space="preserve">- </w:t>
            </w:r>
            <w:r w:rsidR="00DA658B">
              <w:t>U</w:t>
            </w:r>
            <w:r>
              <w:t xml:space="preserve">pdated cost from </w:t>
            </w:r>
            <w:r w:rsidR="00DA658B">
              <w:t xml:space="preserve">2018 </w:t>
            </w:r>
            <w:r w:rsidR="00B26DA3">
              <w:t>Grainger.com and 2010-2012 WO017 Cost Study Report</w:t>
            </w:r>
          </w:p>
          <w:p w14:paraId="63231FBC" w14:textId="601BD135" w:rsidR="00077B34" w:rsidRPr="00697868" w:rsidRDefault="004E4863">
            <w:pPr>
              <w:rPr>
                <w:rFonts w:cstheme="minorHAnsi"/>
                <w:bCs/>
                <w:szCs w:val="20"/>
              </w:rPr>
            </w:pPr>
            <w:r>
              <w:t>- All Climate Zones</w:t>
            </w:r>
            <w:r w:rsidR="00DA658B">
              <w:t xml:space="preserve"> are included in this update</w:t>
            </w:r>
            <w:r>
              <w:t>.</w:t>
            </w:r>
          </w:p>
        </w:tc>
      </w:tr>
    </w:tbl>
    <w:p w14:paraId="74762E7A" w14:textId="77777777" w:rsidR="00F3203F" w:rsidRDefault="00F3203F" w:rsidP="00DA690B">
      <w:pPr>
        <w:rPr>
          <w:rFonts w:cstheme="minorHAnsi"/>
        </w:rPr>
      </w:pPr>
    </w:p>
    <w:p w14:paraId="1C2AB539" w14:textId="77777777" w:rsidR="00F3203F" w:rsidRDefault="00F3203F" w:rsidP="00DA690B">
      <w:pPr>
        <w:rPr>
          <w:rFonts w:cstheme="minorHAnsi"/>
        </w:rPr>
      </w:pPr>
    </w:p>
    <w:p w14:paraId="556B8735" w14:textId="77777777" w:rsidR="00D215DB" w:rsidRDefault="00D215DB" w:rsidP="00D215DB">
      <w:pPr>
        <w:pStyle w:val="Heading1"/>
      </w:pPr>
      <w:r>
        <w:t>Commission Staff and Cal TF Comments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D215DB" w14:paraId="2BD21F72" w14:textId="77777777" w:rsidTr="00D215DB">
        <w:trPr>
          <w:trHeight w:val="20"/>
        </w:trPr>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2ECDC7" w14:textId="77777777" w:rsidR="00D215DB" w:rsidRDefault="00D215DB">
            <w:pPr>
              <w:rPr>
                <w:b/>
                <w:bCs/>
                <w:szCs w:val="20"/>
              </w:rPr>
            </w:pPr>
            <w:r>
              <w:rPr>
                <w:b/>
                <w:szCs w:val="20"/>
              </w:rPr>
              <w:t>Rev</w:t>
            </w:r>
          </w:p>
        </w:tc>
        <w:tc>
          <w:tcPr>
            <w:tcW w:w="35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9916BF" w14:textId="77777777" w:rsidR="00D215DB" w:rsidRDefault="00D215DB">
            <w:pPr>
              <w:rPr>
                <w:b/>
                <w:szCs w:val="20"/>
              </w:rPr>
            </w:pPr>
            <w:r>
              <w:rPr>
                <w:b/>
                <w:szCs w:val="20"/>
              </w:rPr>
              <w:t>Party</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0A73DB" w14:textId="77777777" w:rsidR="00D215DB" w:rsidRDefault="00D215DB">
            <w:pPr>
              <w:rPr>
                <w:b/>
                <w:bCs/>
                <w:szCs w:val="20"/>
              </w:rPr>
            </w:pPr>
            <w:r>
              <w:rPr>
                <w:b/>
                <w:szCs w:val="20"/>
              </w:rPr>
              <w:t>Submittal Date</w:t>
            </w:r>
          </w:p>
        </w:tc>
        <w:tc>
          <w:tcPr>
            <w:tcW w:w="55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0B6391" w14:textId="77777777" w:rsidR="00D215DB" w:rsidRDefault="00D215DB">
            <w:pPr>
              <w:rPr>
                <w:b/>
                <w:bCs/>
                <w:szCs w:val="20"/>
              </w:rPr>
            </w:pPr>
            <w:r>
              <w:rPr>
                <w:b/>
                <w:szCs w:val="20"/>
              </w:rPr>
              <w:t>Comment Date</w:t>
            </w:r>
          </w:p>
        </w:tc>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F75E55" w14:textId="77777777" w:rsidR="00D215DB" w:rsidRDefault="00D215DB">
            <w:pPr>
              <w:rPr>
                <w:b/>
                <w:bCs/>
                <w:szCs w:val="20"/>
              </w:rPr>
            </w:pPr>
            <w:r>
              <w:rPr>
                <w:b/>
                <w:szCs w:val="20"/>
              </w:rPr>
              <w:t>Comments</w:t>
            </w:r>
          </w:p>
        </w:tc>
        <w:tc>
          <w:tcPr>
            <w:tcW w:w="1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EAC69C" w14:textId="77777777" w:rsidR="00D215DB" w:rsidRDefault="00D215DB">
            <w:pPr>
              <w:rPr>
                <w:b/>
                <w:szCs w:val="20"/>
              </w:rPr>
            </w:pPr>
            <w:r>
              <w:rPr>
                <w:b/>
                <w:szCs w:val="20"/>
              </w:rPr>
              <w:t>WP Developer Response</w:t>
            </w:r>
          </w:p>
        </w:tc>
      </w:tr>
      <w:tr w:rsidR="00D215DB" w14:paraId="01531205" w14:textId="77777777" w:rsidTr="00D215DB">
        <w:trPr>
          <w:trHeight w:val="20"/>
        </w:trPr>
        <w:tc>
          <w:tcPr>
            <w:tcW w:w="280" w:type="pct"/>
            <w:tcBorders>
              <w:top w:val="single" w:sz="4" w:space="0" w:color="auto"/>
              <w:left w:val="single" w:sz="4" w:space="0" w:color="auto"/>
              <w:bottom w:val="single" w:sz="4" w:space="0" w:color="auto"/>
              <w:right w:val="single" w:sz="4" w:space="0" w:color="auto"/>
            </w:tcBorders>
          </w:tcPr>
          <w:p w14:paraId="2F0896ED" w14:textId="77777777" w:rsidR="00D215DB" w:rsidRDefault="00D215DB"/>
        </w:tc>
        <w:tc>
          <w:tcPr>
            <w:tcW w:w="351" w:type="pct"/>
            <w:tcBorders>
              <w:top w:val="single" w:sz="4" w:space="0" w:color="auto"/>
              <w:left w:val="single" w:sz="4" w:space="0" w:color="auto"/>
              <w:bottom w:val="single" w:sz="4" w:space="0" w:color="auto"/>
              <w:right w:val="single" w:sz="4" w:space="0" w:color="auto"/>
            </w:tcBorders>
          </w:tcPr>
          <w:p w14:paraId="7792E0E1" w14:textId="77777777" w:rsidR="00D215DB" w:rsidRDefault="00D215DB">
            <w:pPr>
              <w:autoSpaceDE w:val="0"/>
              <w:autoSpaceDN w:val="0"/>
              <w:adjustRightInd w:val="0"/>
              <w:rPr>
                <w:szCs w:val="20"/>
              </w:rPr>
            </w:pPr>
          </w:p>
        </w:tc>
        <w:tc>
          <w:tcPr>
            <w:tcW w:w="548" w:type="pct"/>
            <w:tcBorders>
              <w:top w:val="single" w:sz="4" w:space="0" w:color="auto"/>
              <w:left w:val="single" w:sz="4" w:space="0" w:color="auto"/>
              <w:bottom w:val="single" w:sz="4" w:space="0" w:color="auto"/>
              <w:right w:val="single" w:sz="4" w:space="0" w:color="auto"/>
            </w:tcBorders>
          </w:tcPr>
          <w:p w14:paraId="58CA0F53" w14:textId="77777777" w:rsidR="00D215DB" w:rsidRDefault="00D215DB">
            <w:pPr>
              <w:autoSpaceDE w:val="0"/>
              <w:autoSpaceDN w:val="0"/>
              <w:adjustRightInd w:val="0"/>
              <w:rPr>
                <w:szCs w:val="20"/>
              </w:rPr>
            </w:pPr>
          </w:p>
        </w:tc>
        <w:tc>
          <w:tcPr>
            <w:tcW w:w="552" w:type="pct"/>
            <w:tcBorders>
              <w:top w:val="single" w:sz="4" w:space="0" w:color="auto"/>
              <w:left w:val="single" w:sz="4" w:space="0" w:color="auto"/>
              <w:bottom w:val="single" w:sz="4" w:space="0" w:color="auto"/>
              <w:right w:val="single" w:sz="4" w:space="0" w:color="auto"/>
            </w:tcBorders>
          </w:tcPr>
          <w:p w14:paraId="5ABAB918" w14:textId="77777777" w:rsidR="00D215DB" w:rsidRDefault="00D215DB">
            <w:pPr>
              <w:rPr>
                <w:szCs w:val="20"/>
              </w:rPr>
            </w:pPr>
          </w:p>
        </w:tc>
        <w:tc>
          <w:tcPr>
            <w:tcW w:w="1634" w:type="pct"/>
            <w:tcBorders>
              <w:top w:val="single" w:sz="4" w:space="0" w:color="auto"/>
              <w:left w:val="single" w:sz="4" w:space="0" w:color="auto"/>
              <w:bottom w:val="single" w:sz="4" w:space="0" w:color="auto"/>
              <w:right w:val="single" w:sz="4" w:space="0" w:color="auto"/>
            </w:tcBorders>
          </w:tcPr>
          <w:p w14:paraId="485BB4AC" w14:textId="77777777" w:rsidR="00D215DB" w:rsidRDefault="00D215DB">
            <w:pPr>
              <w:rPr>
                <w:bCs/>
                <w:szCs w:val="20"/>
              </w:rPr>
            </w:pPr>
          </w:p>
        </w:tc>
        <w:tc>
          <w:tcPr>
            <w:tcW w:w="1634" w:type="pct"/>
            <w:tcBorders>
              <w:top w:val="single" w:sz="4" w:space="0" w:color="auto"/>
              <w:left w:val="single" w:sz="4" w:space="0" w:color="auto"/>
              <w:bottom w:val="single" w:sz="4" w:space="0" w:color="auto"/>
              <w:right w:val="single" w:sz="4" w:space="0" w:color="auto"/>
            </w:tcBorders>
          </w:tcPr>
          <w:p w14:paraId="012EF3FE" w14:textId="77777777" w:rsidR="00D215DB" w:rsidRDefault="00D215DB">
            <w:pPr>
              <w:rPr>
                <w:bCs/>
                <w:szCs w:val="20"/>
              </w:rPr>
            </w:pPr>
          </w:p>
        </w:tc>
      </w:tr>
    </w:tbl>
    <w:p w14:paraId="6AE70CE0" w14:textId="77777777" w:rsidR="00D215DB" w:rsidRDefault="00D215DB" w:rsidP="00D215DB">
      <w:pPr>
        <w:spacing w:line="276" w:lineRule="auto"/>
        <w:rPr>
          <w:sz w:val="20"/>
          <w:szCs w:val="20"/>
        </w:rPr>
      </w:pPr>
      <w:r>
        <w:rPr>
          <w:sz w:val="20"/>
          <w:szCs w:val="20"/>
        </w:rPr>
        <w:t xml:space="preserve">Cal TF website: </w:t>
      </w:r>
      <w:hyperlink r:id="rId10" w:history="1">
        <w:r>
          <w:rPr>
            <w:rStyle w:val="Hyperlink"/>
            <w:sz w:val="20"/>
            <w:szCs w:val="20"/>
          </w:rPr>
          <w:t>http://www.caltf.org/</w:t>
        </w:r>
      </w:hyperlink>
      <w:r>
        <w:rPr>
          <w:sz w:val="20"/>
          <w:szCs w:val="20"/>
        </w:rPr>
        <w:t xml:space="preserve"> </w:t>
      </w:r>
    </w:p>
    <w:p w14:paraId="15228AB3" w14:textId="77777777" w:rsidR="00F3203F" w:rsidRPr="00397406" w:rsidRDefault="00F3203F" w:rsidP="00DA690B">
      <w:pPr>
        <w:rPr>
          <w:rFonts w:cstheme="minorHAnsi"/>
        </w:rPr>
        <w:sectPr w:rsidR="00F3203F" w:rsidRPr="00397406" w:rsidSect="007F7FBA">
          <w:footerReference w:type="default" r:id="rId11"/>
          <w:pgSz w:w="12240" w:h="15840"/>
          <w:pgMar w:top="1440" w:right="1440" w:bottom="1440" w:left="1440" w:header="720" w:footer="720" w:gutter="0"/>
          <w:pgNumType w:fmt="lowerRoman" w:start="1"/>
          <w:cols w:space="720"/>
          <w:docGrid w:linePitch="360"/>
        </w:sectPr>
      </w:pPr>
    </w:p>
    <w:p w14:paraId="48832E35" w14:textId="77777777" w:rsidR="00D215DB" w:rsidRDefault="00D215DB" w:rsidP="00D215DB">
      <w:pPr>
        <w:pStyle w:val="Heading1"/>
        <w:rPr>
          <w:rFonts w:cstheme="minorHAnsi"/>
        </w:rPr>
      </w:pPr>
      <w:r>
        <w:rPr>
          <w:rFonts w:cstheme="minorHAnsi"/>
        </w:rPr>
        <w:lastRenderedPageBreak/>
        <w:t>Section 1. General Measure &amp; Baseline Data</w:t>
      </w:r>
    </w:p>
    <w:bookmarkEnd w:id="1"/>
    <w:p w14:paraId="7CF253F2" w14:textId="0066239E" w:rsidR="004A1270" w:rsidRPr="004A1270" w:rsidRDefault="004A1270" w:rsidP="004A1270">
      <w:r w:rsidRPr="004A1270">
        <w:t xml:space="preserve">This work paper details the replacement of smooth v-belts in non-residential unitary (packaged) rooftop HVAC systems and split system HVAC units with cogged v-belts. The base case is a rooftop unit (RTU) that contains one or more smooth v-belts. The measure replaces them with new cogged (notched) v-belts. The savings are calculated for </w:t>
      </w:r>
      <w:r w:rsidR="003510B3">
        <w:t xml:space="preserve">applicable commercial </w:t>
      </w:r>
      <w:r w:rsidRPr="004A1270">
        <w:t>building types</w:t>
      </w:r>
      <w:r w:rsidR="003510B3">
        <w:t xml:space="preserve"> served by</w:t>
      </w:r>
      <w:r w:rsidRPr="004A1270">
        <w:t xml:space="preserve"> </w:t>
      </w:r>
      <w:r w:rsidR="003510B3">
        <w:t xml:space="preserve">rooftop HVAC </w:t>
      </w:r>
      <w:r w:rsidRPr="004A1270">
        <w:t>system</w:t>
      </w:r>
      <w:r w:rsidR="003510B3">
        <w:t xml:space="preserve">s </w:t>
      </w:r>
      <w:r w:rsidRPr="004A1270">
        <w:t xml:space="preserve">in all California climate zones. </w:t>
      </w:r>
      <w:r w:rsidR="003510B3">
        <w:t>T</w:t>
      </w:r>
      <w:r w:rsidR="00F719CC">
        <w:t>he savings</w:t>
      </w:r>
      <w:r w:rsidR="008B56B3">
        <w:t xml:space="preserve"> </w:t>
      </w:r>
      <w:r w:rsidR="00F719CC">
        <w:t>are</w:t>
      </w:r>
      <w:r w:rsidR="009F32CB">
        <w:t xml:space="preserve"> </w:t>
      </w:r>
      <w:r w:rsidR="008B56B3">
        <w:t xml:space="preserve">based on only the </w:t>
      </w:r>
      <w:r w:rsidR="00F719CC">
        <w:t>electric portion of the</w:t>
      </w:r>
      <w:r w:rsidR="00DD0194">
        <w:t xml:space="preserve"> </w:t>
      </w:r>
      <w:r w:rsidR="00516403">
        <w:t>u</w:t>
      </w:r>
      <w:r w:rsidR="00DD0194">
        <w:t xml:space="preserve">nitary system. </w:t>
      </w:r>
    </w:p>
    <w:p w14:paraId="6DA58BBA" w14:textId="77777777" w:rsidR="00D215DB" w:rsidRDefault="00D215DB" w:rsidP="00D215DB">
      <w:pPr>
        <w:pStyle w:val="Heading2"/>
        <w:rPr>
          <w:rFonts w:asciiTheme="minorHAnsi" w:hAnsiTheme="minorHAnsi"/>
        </w:rPr>
      </w:pPr>
      <w:bookmarkStart w:id="8" w:name="_Toc214003083"/>
      <w:r>
        <w:rPr>
          <w:rFonts w:asciiTheme="minorHAnsi" w:hAnsiTheme="minorHAnsi"/>
        </w:rPr>
        <w:t xml:space="preserve">1.1 Measure Description &amp; Background </w:t>
      </w:r>
    </w:p>
    <w:bookmarkEnd w:id="8"/>
    <w:p w14:paraId="3C429C81" w14:textId="32F7BB0D" w:rsidR="004A1270" w:rsidRDefault="004A1270" w:rsidP="004A1270">
      <w:r w:rsidRPr="00C7540B">
        <w:rPr>
          <w:b/>
        </w:rPr>
        <w:t>Measure Description:</w:t>
      </w:r>
      <w:r>
        <w:t xml:space="preserve"> This measure is the replacement of smooth v-belts with cogged v</w:t>
      </w:r>
      <w:r w:rsidRPr="00C7540B">
        <w:t>-belts</w:t>
      </w:r>
      <w:r>
        <w:t xml:space="preserve"> in non</w:t>
      </w:r>
      <w:r w:rsidRPr="00C7540B">
        <w:t>residential package ro</w:t>
      </w:r>
      <w:r>
        <w:t xml:space="preserve">oftop HVAC systems. </w:t>
      </w:r>
    </w:p>
    <w:p w14:paraId="627AE531" w14:textId="77777777" w:rsidR="004A1270" w:rsidRPr="00C7540B" w:rsidRDefault="004A1270" w:rsidP="004A1270"/>
    <w:p w14:paraId="1FB76AF6" w14:textId="1FDB599D" w:rsidR="004A1270" w:rsidRDefault="004A1270" w:rsidP="004A1270">
      <w:r w:rsidRPr="00C7540B">
        <w:rPr>
          <w:b/>
        </w:rPr>
        <w:t>Base</w:t>
      </w:r>
      <w:r w:rsidR="00C70CB8">
        <w:rPr>
          <w:b/>
        </w:rPr>
        <w:t xml:space="preserve"> C</w:t>
      </w:r>
      <w:r w:rsidRPr="00C7540B">
        <w:rPr>
          <w:b/>
        </w:rPr>
        <w:t>ase Description:</w:t>
      </w:r>
      <w:r w:rsidRPr="00C7540B">
        <w:t xml:space="preserve"> </w:t>
      </w:r>
      <w:r w:rsidR="00516403">
        <w:t xml:space="preserve">Standard </w:t>
      </w:r>
      <w:r w:rsidR="00E91AE6">
        <w:rPr>
          <w:rFonts w:cs="Arial"/>
          <w:szCs w:val="20"/>
        </w:rPr>
        <w:t xml:space="preserve">Smooth V-Belts </w:t>
      </w:r>
      <w:r w:rsidR="00E91AE6" w:rsidRPr="00B72113">
        <w:rPr>
          <w:rFonts w:cs="Arial"/>
          <w:szCs w:val="20"/>
        </w:rPr>
        <w:t xml:space="preserve">in </w:t>
      </w:r>
      <w:r w:rsidR="00E91AE6">
        <w:rPr>
          <w:rFonts w:cs="Arial"/>
          <w:szCs w:val="20"/>
        </w:rPr>
        <w:t>N</w:t>
      </w:r>
      <w:r w:rsidR="00E91AE6" w:rsidRPr="00B72113">
        <w:rPr>
          <w:rFonts w:cs="Arial"/>
          <w:szCs w:val="20"/>
        </w:rPr>
        <w:t>on</w:t>
      </w:r>
      <w:r w:rsidR="00E91AE6">
        <w:rPr>
          <w:rFonts w:cs="Arial"/>
          <w:szCs w:val="20"/>
        </w:rPr>
        <w:t>-R</w:t>
      </w:r>
      <w:r w:rsidR="00E91AE6" w:rsidRPr="00B72113">
        <w:rPr>
          <w:rFonts w:cs="Arial"/>
          <w:szCs w:val="20"/>
        </w:rPr>
        <w:t xml:space="preserve">esidential </w:t>
      </w:r>
      <w:r w:rsidR="00E91AE6">
        <w:rPr>
          <w:rFonts w:cs="Arial"/>
          <w:szCs w:val="20"/>
        </w:rPr>
        <w:t>P</w:t>
      </w:r>
      <w:r w:rsidR="00E91AE6" w:rsidRPr="00B72113">
        <w:rPr>
          <w:rFonts w:cs="Arial"/>
          <w:szCs w:val="20"/>
        </w:rPr>
        <w:t xml:space="preserve">ackage </w:t>
      </w:r>
      <w:r w:rsidR="00E91AE6">
        <w:rPr>
          <w:rFonts w:cs="Arial"/>
          <w:szCs w:val="20"/>
        </w:rPr>
        <w:t>R</w:t>
      </w:r>
      <w:r w:rsidR="00E91AE6" w:rsidRPr="00B72113">
        <w:rPr>
          <w:rFonts w:cs="Arial"/>
          <w:szCs w:val="20"/>
        </w:rPr>
        <w:t xml:space="preserve">ooftop HVAC </w:t>
      </w:r>
      <w:r w:rsidR="00E91AE6">
        <w:rPr>
          <w:rFonts w:cs="Arial"/>
          <w:szCs w:val="20"/>
        </w:rPr>
        <w:t>S</w:t>
      </w:r>
      <w:r w:rsidR="00E91AE6" w:rsidRPr="00B72113">
        <w:rPr>
          <w:rFonts w:cs="Arial"/>
          <w:szCs w:val="20"/>
        </w:rPr>
        <w:t>ystems</w:t>
      </w:r>
      <w:r w:rsidR="008B56B3">
        <w:t>.</w:t>
      </w:r>
    </w:p>
    <w:p w14:paraId="54E322F8" w14:textId="77777777" w:rsidR="004A1270" w:rsidRDefault="004A1270" w:rsidP="004A1270"/>
    <w:p w14:paraId="4AF17802" w14:textId="77777777" w:rsidR="00B72113" w:rsidRPr="00B72113" w:rsidRDefault="00B72113" w:rsidP="00B72113">
      <w:pPr>
        <w:rPr>
          <w:b/>
          <w:szCs w:val="22"/>
        </w:rPr>
      </w:pPr>
      <w:r w:rsidRPr="00B72113">
        <w:rPr>
          <w:b/>
          <w:szCs w:val="22"/>
        </w:rPr>
        <w:t>Base, Standard, and Measure Cases</w:t>
      </w:r>
    </w:p>
    <w:tbl>
      <w:tblPr>
        <w:tblStyle w:val="TableGrid1"/>
        <w:tblW w:w="5000" w:type="pct"/>
        <w:tblLook w:val="04A0" w:firstRow="1" w:lastRow="0" w:firstColumn="1" w:lastColumn="0" w:noHBand="0" w:noVBand="1"/>
      </w:tblPr>
      <w:tblGrid>
        <w:gridCol w:w="2809"/>
        <w:gridCol w:w="6541"/>
      </w:tblGrid>
      <w:tr w:rsidR="00B72113" w:rsidRPr="00800706" w14:paraId="471848E3" w14:textId="77777777" w:rsidTr="00E20AC9">
        <w:trPr>
          <w:trHeight w:val="20"/>
        </w:trPr>
        <w:tc>
          <w:tcPr>
            <w:tcW w:w="1502" w:type="pct"/>
            <w:shd w:val="clear" w:color="auto" w:fill="D9D9D9" w:themeFill="background1" w:themeFillShade="D9"/>
          </w:tcPr>
          <w:p w14:paraId="2C95B2CE" w14:textId="77777777" w:rsidR="00B72113" w:rsidRPr="00800706" w:rsidRDefault="00B72113" w:rsidP="00E20AC9">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05F946A8" w14:textId="77777777" w:rsidR="00B72113" w:rsidRPr="00920905" w:rsidRDefault="00B72113" w:rsidP="00E20AC9">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Pr="00800706">
              <w:rPr>
                <w:rFonts w:asciiTheme="minorHAnsi" w:hAnsiTheme="minorHAnsi" w:cstheme="minorHAnsi"/>
                <w:b/>
                <w:i w:val="0"/>
                <w:color w:val="auto"/>
                <w:szCs w:val="20"/>
              </w:rPr>
              <w:t xml:space="preserve"> of Typical Scenario</w:t>
            </w:r>
          </w:p>
        </w:tc>
      </w:tr>
      <w:tr w:rsidR="00B72113" w:rsidRPr="00800706" w14:paraId="30EA8160" w14:textId="77777777" w:rsidTr="00E20AC9">
        <w:trPr>
          <w:trHeight w:val="20"/>
        </w:trPr>
        <w:tc>
          <w:tcPr>
            <w:tcW w:w="1502" w:type="pct"/>
          </w:tcPr>
          <w:p w14:paraId="09B10C9A" w14:textId="77777777" w:rsidR="00B72113" w:rsidRPr="00920905" w:rsidRDefault="00B72113" w:rsidP="00E20AC9">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2E39C28" w14:textId="24FF40E4" w:rsidR="00B72113" w:rsidRPr="00920905" w:rsidRDefault="00B72113" w:rsidP="00B72113">
            <w:pPr>
              <w:rPr>
                <w:szCs w:val="20"/>
              </w:rPr>
            </w:pPr>
            <w:r>
              <w:rPr>
                <w:rFonts w:cs="Arial"/>
                <w:szCs w:val="20"/>
              </w:rPr>
              <w:t>C</w:t>
            </w:r>
            <w:r w:rsidRPr="00B72113">
              <w:rPr>
                <w:rFonts w:cs="Arial"/>
                <w:szCs w:val="20"/>
              </w:rPr>
              <w:t xml:space="preserve">ogged </w:t>
            </w:r>
            <w:r>
              <w:rPr>
                <w:rFonts w:cs="Arial"/>
                <w:szCs w:val="20"/>
              </w:rPr>
              <w:t>V</w:t>
            </w:r>
            <w:r w:rsidRPr="00B72113">
              <w:rPr>
                <w:rFonts w:cs="Arial"/>
                <w:szCs w:val="20"/>
              </w:rPr>
              <w:t>-</w:t>
            </w:r>
            <w:r>
              <w:rPr>
                <w:rFonts w:cs="Arial"/>
                <w:szCs w:val="20"/>
              </w:rPr>
              <w:t>B</w:t>
            </w:r>
            <w:r w:rsidRPr="00B72113">
              <w:rPr>
                <w:rFonts w:cs="Arial"/>
                <w:szCs w:val="20"/>
              </w:rPr>
              <w:t xml:space="preserve">elts in </w:t>
            </w:r>
            <w:r>
              <w:rPr>
                <w:rFonts w:cs="Arial"/>
                <w:szCs w:val="20"/>
              </w:rPr>
              <w:t>N</w:t>
            </w:r>
            <w:r w:rsidRPr="00B72113">
              <w:rPr>
                <w:rFonts w:cs="Arial"/>
                <w:szCs w:val="20"/>
              </w:rPr>
              <w:t>on</w:t>
            </w:r>
            <w:r>
              <w:rPr>
                <w:rFonts w:cs="Arial"/>
                <w:szCs w:val="20"/>
              </w:rPr>
              <w:t>-R</w:t>
            </w:r>
            <w:r w:rsidRPr="00B72113">
              <w:rPr>
                <w:rFonts w:cs="Arial"/>
                <w:szCs w:val="20"/>
              </w:rPr>
              <w:t xml:space="preserve">esidential </w:t>
            </w:r>
            <w:r>
              <w:rPr>
                <w:rFonts w:cs="Arial"/>
                <w:szCs w:val="20"/>
              </w:rPr>
              <w:t>P</w:t>
            </w:r>
            <w:r w:rsidRPr="00B72113">
              <w:rPr>
                <w:rFonts w:cs="Arial"/>
                <w:szCs w:val="20"/>
              </w:rPr>
              <w:t xml:space="preserve">ackage </w:t>
            </w:r>
            <w:r>
              <w:rPr>
                <w:rFonts w:cs="Arial"/>
                <w:szCs w:val="20"/>
              </w:rPr>
              <w:t>R</w:t>
            </w:r>
            <w:r w:rsidRPr="00B72113">
              <w:rPr>
                <w:rFonts w:cs="Arial"/>
                <w:szCs w:val="20"/>
              </w:rPr>
              <w:t xml:space="preserve">ooftop HVAC </w:t>
            </w:r>
            <w:r>
              <w:rPr>
                <w:rFonts w:cs="Arial"/>
                <w:szCs w:val="20"/>
              </w:rPr>
              <w:t>S</w:t>
            </w:r>
            <w:r w:rsidRPr="00B72113">
              <w:rPr>
                <w:rFonts w:cs="Arial"/>
                <w:szCs w:val="20"/>
              </w:rPr>
              <w:t>ystems</w:t>
            </w:r>
          </w:p>
        </w:tc>
      </w:tr>
      <w:tr w:rsidR="00B72113" w:rsidRPr="00800706" w14:paraId="0C8C8159" w14:textId="77777777" w:rsidTr="00E20AC9">
        <w:trPr>
          <w:trHeight w:val="20"/>
        </w:trPr>
        <w:tc>
          <w:tcPr>
            <w:tcW w:w="1502" w:type="pct"/>
          </w:tcPr>
          <w:p w14:paraId="2F72075C" w14:textId="77777777" w:rsidR="00B72113" w:rsidRPr="00920905" w:rsidRDefault="00B72113" w:rsidP="00E20AC9">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449112D6" w14:textId="6DAF840B" w:rsidR="00B72113" w:rsidRPr="00920905" w:rsidRDefault="00B72113" w:rsidP="00E20AC9">
            <w:pPr>
              <w:rPr>
                <w:i/>
                <w:szCs w:val="20"/>
              </w:rPr>
            </w:pPr>
            <w:r>
              <w:rPr>
                <w:rFonts w:cs="Arial"/>
                <w:szCs w:val="20"/>
              </w:rPr>
              <w:t xml:space="preserve">Smooth V-Belts </w:t>
            </w:r>
            <w:r w:rsidRPr="00B72113">
              <w:rPr>
                <w:rFonts w:cs="Arial"/>
                <w:szCs w:val="20"/>
              </w:rPr>
              <w:t xml:space="preserve">in </w:t>
            </w:r>
            <w:r>
              <w:rPr>
                <w:rFonts w:cs="Arial"/>
                <w:szCs w:val="20"/>
              </w:rPr>
              <w:t>N</w:t>
            </w:r>
            <w:r w:rsidRPr="00B72113">
              <w:rPr>
                <w:rFonts w:cs="Arial"/>
                <w:szCs w:val="20"/>
              </w:rPr>
              <w:t>on</w:t>
            </w:r>
            <w:r>
              <w:rPr>
                <w:rFonts w:cs="Arial"/>
                <w:szCs w:val="20"/>
              </w:rPr>
              <w:t>-R</w:t>
            </w:r>
            <w:r w:rsidRPr="00B72113">
              <w:rPr>
                <w:rFonts w:cs="Arial"/>
                <w:szCs w:val="20"/>
              </w:rPr>
              <w:t xml:space="preserve">esidential </w:t>
            </w:r>
            <w:r>
              <w:rPr>
                <w:rFonts w:cs="Arial"/>
                <w:szCs w:val="20"/>
              </w:rPr>
              <w:t>P</w:t>
            </w:r>
            <w:r w:rsidRPr="00B72113">
              <w:rPr>
                <w:rFonts w:cs="Arial"/>
                <w:szCs w:val="20"/>
              </w:rPr>
              <w:t xml:space="preserve">ackage </w:t>
            </w:r>
            <w:r>
              <w:rPr>
                <w:rFonts w:cs="Arial"/>
                <w:szCs w:val="20"/>
              </w:rPr>
              <w:t>R</w:t>
            </w:r>
            <w:r w:rsidRPr="00B72113">
              <w:rPr>
                <w:rFonts w:cs="Arial"/>
                <w:szCs w:val="20"/>
              </w:rPr>
              <w:t xml:space="preserve">ooftop HVAC </w:t>
            </w:r>
            <w:r>
              <w:rPr>
                <w:rFonts w:cs="Arial"/>
                <w:szCs w:val="20"/>
              </w:rPr>
              <w:t>S</w:t>
            </w:r>
            <w:r w:rsidRPr="00B72113">
              <w:rPr>
                <w:rFonts w:cs="Arial"/>
                <w:szCs w:val="20"/>
              </w:rPr>
              <w:t>ystems</w:t>
            </w:r>
          </w:p>
        </w:tc>
      </w:tr>
      <w:tr w:rsidR="00B72113" w:rsidRPr="00800706" w14:paraId="69DBDA8E" w14:textId="77777777" w:rsidTr="00E20AC9">
        <w:trPr>
          <w:trHeight w:val="20"/>
        </w:trPr>
        <w:tc>
          <w:tcPr>
            <w:tcW w:w="1502" w:type="pct"/>
          </w:tcPr>
          <w:p w14:paraId="054AF280" w14:textId="77777777" w:rsidR="00B72113" w:rsidRPr="00800706" w:rsidRDefault="00B72113" w:rsidP="00E20AC9">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53366C0C" w14:textId="7FE0A600" w:rsidR="00B72113" w:rsidRPr="0080189A" w:rsidRDefault="00B72113" w:rsidP="00E20AC9">
            <w:pPr>
              <w:rPr>
                <w:color w:val="FF0000"/>
                <w:szCs w:val="20"/>
              </w:rPr>
            </w:pPr>
            <w:r>
              <w:rPr>
                <w:rFonts w:cs="Arial"/>
                <w:szCs w:val="20"/>
              </w:rPr>
              <w:t>N/A</w:t>
            </w:r>
          </w:p>
        </w:tc>
      </w:tr>
      <w:tr w:rsidR="00B72113" w:rsidRPr="00800706" w14:paraId="33D189EA" w14:textId="77777777" w:rsidTr="00E20AC9">
        <w:trPr>
          <w:trHeight w:val="20"/>
        </w:trPr>
        <w:tc>
          <w:tcPr>
            <w:tcW w:w="1502" w:type="pct"/>
          </w:tcPr>
          <w:p w14:paraId="325C5D64" w14:textId="77777777" w:rsidR="00B72113" w:rsidRPr="00920905" w:rsidRDefault="00B72113" w:rsidP="00E20AC9">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C779D12" w14:textId="3D09A624" w:rsidR="00B72113" w:rsidRPr="00920905" w:rsidRDefault="007B2F45" w:rsidP="00E20AC9">
            <w:pPr>
              <w:rPr>
                <w:i/>
                <w:szCs w:val="20"/>
              </w:rPr>
            </w:pPr>
            <w:r>
              <w:rPr>
                <w:rFonts w:cs="Arial"/>
                <w:szCs w:val="20"/>
              </w:rPr>
              <w:t xml:space="preserve">Smooth V-Belts </w:t>
            </w:r>
            <w:r w:rsidRPr="00B72113">
              <w:rPr>
                <w:rFonts w:cs="Arial"/>
                <w:szCs w:val="20"/>
              </w:rPr>
              <w:t xml:space="preserve">in </w:t>
            </w:r>
            <w:r>
              <w:rPr>
                <w:rFonts w:cs="Arial"/>
                <w:szCs w:val="20"/>
              </w:rPr>
              <w:t>N</w:t>
            </w:r>
            <w:r w:rsidRPr="00B72113">
              <w:rPr>
                <w:rFonts w:cs="Arial"/>
                <w:szCs w:val="20"/>
              </w:rPr>
              <w:t>on</w:t>
            </w:r>
            <w:r>
              <w:rPr>
                <w:rFonts w:cs="Arial"/>
                <w:szCs w:val="20"/>
              </w:rPr>
              <w:t>-R</w:t>
            </w:r>
            <w:r w:rsidRPr="00B72113">
              <w:rPr>
                <w:rFonts w:cs="Arial"/>
                <w:szCs w:val="20"/>
              </w:rPr>
              <w:t xml:space="preserve">esidential </w:t>
            </w:r>
            <w:r>
              <w:rPr>
                <w:rFonts w:cs="Arial"/>
                <w:szCs w:val="20"/>
              </w:rPr>
              <w:t>P</w:t>
            </w:r>
            <w:r w:rsidRPr="00B72113">
              <w:rPr>
                <w:rFonts w:cs="Arial"/>
                <w:szCs w:val="20"/>
              </w:rPr>
              <w:t xml:space="preserve">ackage </w:t>
            </w:r>
            <w:r>
              <w:rPr>
                <w:rFonts w:cs="Arial"/>
                <w:szCs w:val="20"/>
              </w:rPr>
              <w:t>R</w:t>
            </w:r>
            <w:r w:rsidRPr="00B72113">
              <w:rPr>
                <w:rFonts w:cs="Arial"/>
                <w:szCs w:val="20"/>
              </w:rPr>
              <w:t xml:space="preserve">ooftop HVAC </w:t>
            </w:r>
            <w:r>
              <w:rPr>
                <w:rFonts w:cs="Arial"/>
                <w:szCs w:val="20"/>
              </w:rPr>
              <w:t>S</w:t>
            </w:r>
            <w:r w:rsidRPr="00B72113">
              <w:rPr>
                <w:rFonts w:cs="Arial"/>
                <w:szCs w:val="20"/>
              </w:rPr>
              <w:t>ystems</w:t>
            </w:r>
          </w:p>
        </w:tc>
      </w:tr>
    </w:tbl>
    <w:p w14:paraId="08A4AFB3" w14:textId="77777777" w:rsidR="00B72113" w:rsidRPr="00800706" w:rsidRDefault="00B72113" w:rsidP="00B72113">
      <w:pPr>
        <w:pStyle w:val="NoSpacing"/>
      </w:pPr>
    </w:p>
    <w:p w14:paraId="6AAC2D19" w14:textId="77777777" w:rsidR="00B72113" w:rsidRPr="00800706" w:rsidRDefault="00B72113" w:rsidP="00B72113">
      <w:pPr>
        <w:pStyle w:val="Caption"/>
        <w:rPr>
          <w:rFonts w:cstheme="minorHAnsi"/>
          <w:szCs w:val="22"/>
        </w:rPr>
      </w:pPr>
      <w:r w:rsidRPr="00800706">
        <w:rPr>
          <w:rFonts w:cstheme="minorHAnsi"/>
          <w:szCs w:val="22"/>
        </w:rPr>
        <w:t>Measures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B72113" w:rsidRPr="00800706" w14:paraId="3DAD0EDF" w14:textId="77777777" w:rsidTr="00E20AC9">
        <w:tc>
          <w:tcPr>
            <w:tcW w:w="2356" w:type="pct"/>
            <w:gridSpan w:val="4"/>
            <w:shd w:val="clear" w:color="auto" w:fill="D9D9D9" w:themeFill="background1" w:themeFillShade="D9"/>
          </w:tcPr>
          <w:p w14:paraId="6A4B0ACC" w14:textId="77777777" w:rsidR="00B72113" w:rsidRPr="00920905" w:rsidRDefault="00B72113" w:rsidP="00E20AC9">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5BEA1178" w14:textId="77777777" w:rsidR="00B72113" w:rsidRPr="00920905" w:rsidRDefault="00B72113" w:rsidP="00E20AC9">
            <w:pPr>
              <w:rPr>
                <w:rFonts w:cstheme="minorHAnsi"/>
                <w:b/>
                <w:szCs w:val="20"/>
              </w:rPr>
            </w:pPr>
            <w:r w:rsidRPr="00920905">
              <w:rPr>
                <w:rFonts w:cstheme="minorHAnsi"/>
                <w:b/>
                <w:szCs w:val="20"/>
              </w:rPr>
              <w:t>Measure Name</w:t>
            </w:r>
          </w:p>
        </w:tc>
      </w:tr>
      <w:tr w:rsidR="00B72113" w:rsidRPr="00800706" w14:paraId="275EE282" w14:textId="77777777" w:rsidTr="00E20AC9">
        <w:tc>
          <w:tcPr>
            <w:tcW w:w="539" w:type="pct"/>
            <w:shd w:val="clear" w:color="auto" w:fill="F2F2F2" w:themeFill="background1" w:themeFillShade="F2"/>
          </w:tcPr>
          <w:p w14:paraId="33205887" w14:textId="77777777" w:rsidR="00B72113" w:rsidRPr="00800706" w:rsidRDefault="00B72113" w:rsidP="00E20AC9">
            <w:pPr>
              <w:rPr>
                <w:rFonts w:cstheme="minorHAnsi"/>
                <w:szCs w:val="20"/>
              </w:rPr>
            </w:pPr>
            <w:r w:rsidRPr="00800706">
              <w:rPr>
                <w:rFonts w:cstheme="minorHAnsi"/>
                <w:szCs w:val="20"/>
              </w:rPr>
              <w:t>SCG</w:t>
            </w:r>
          </w:p>
        </w:tc>
        <w:tc>
          <w:tcPr>
            <w:tcW w:w="539" w:type="pct"/>
            <w:shd w:val="clear" w:color="auto" w:fill="F2F2F2" w:themeFill="background1" w:themeFillShade="F2"/>
          </w:tcPr>
          <w:p w14:paraId="7AF112DF" w14:textId="77777777" w:rsidR="00B72113" w:rsidRPr="00800706" w:rsidRDefault="00B72113" w:rsidP="00E20AC9">
            <w:pPr>
              <w:rPr>
                <w:rFonts w:cstheme="minorHAnsi"/>
                <w:szCs w:val="20"/>
              </w:rPr>
            </w:pPr>
            <w:r w:rsidRPr="00800706">
              <w:rPr>
                <w:rFonts w:cstheme="minorHAnsi"/>
                <w:szCs w:val="20"/>
              </w:rPr>
              <w:t>SDG&amp;E</w:t>
            </w:r>
          </w:p>
        </w:tc>
        <w:tc>
          <w:tcPr>
            <w:tcW w:w="605" w:type="pct"/>
            <w:shd w:val="clear" w:color="auto" w:fill="F2F2F2" w:themeFill="background1" w:themeFillShade="F2"/>
          </w:tcPr>
          <w:p w14:paraId="0D6E016E" w14:textId="77777777" w:rsidR="00B72113" w:rsidRPr="00800706" w:rsidRDefault="00B72113" w:rsidP="00E20AC9">
            <w:pPr>
              <w:rPr>
                <w:rFonts w:cstheme="minorHAnsi"/>
                <w:szCs w:val="20"/>
              </w:rPr>
            </w:pPr>
            <w:r w:rsidRPr="00800706">
              <w:rPr>
                <w:rFonts w:cstheme="minorHAnsi"/>
                <w:szCs w:val="20"/>
              </w:rPr>
              <w:t>SCE</w:t>
            </w:r>
          </w:p>
        </w:tc>
        <w:tc>
          <w:tcPr>
            <w:tcW w:w="673" w:type="pct"/>
            <w:shd w:val="clear" w:color="auto" w:fill="F2F2F2" w:themeFill="background1" w:themeFillShade="F2"/>
          </w:tcPr>
          <w:p w14:paraId="50399BB9" w14:textId="77777777" w:rsidR="00B72113" w:rsidRPr="00800706" w:rsidRDefault="00B72113" w:rsidP="00E20AC9">
            <w:pPr>
              <w:rPr>
                <w:rFonts w:cstheme="minorHAnsi"/>
                <w:szCs w:val="20"/>
              </w:rPr>
            </w:pPr>
            <w:r w:rsidRPr="00800706">
              <w:rPr>
                <w:rFonts w:cstheme="minorHAnsi"/>
                <w:szCs w:val="20"/>
              </w:rPr>
              <w:t>PG&amp;E</w:t>
            </w:r>
          </w:p>
        </w:tc>
        <w:tc>
          <w:tcPr>
            <w:tcW w:w="2644" w:type="pct"/>
            <w:vMerge/>
          </w:tcPr>
          <w:p w14:paraId="4D17DBFA" w14:textId="77777777" w:rsidR="00B72113" w:rsidRPr="00800706" w:rsidRDefault="00B72113" w:rsidP="00E20AC9">
            <w:pPr>
              <w:rPr>
                <w:rFonts w:cstheme="minorHAnsi"/>
                <w:szCs w:val="20"/>
              </w:rPr>
            </w:pPr>
          </w:p>
        </w:tc>
      </w:tr>
      <w:tr w:rsidR="00B72113" w:rsidRPr="00800706" w14:paraId="4103C590" w14:textId="77777777" w:rsidTr="00E20AC9">
        <w:trPr>
          <w:trHeight w:val="243"/>
        </w:trPr>
        <w:tc>
          <w:tcPr>
            <w:tcW w:w="539" w:type="pct"/>
          </w:tcPr>
          <w:p w14:paraId="7E246326" w14:textId="77777777" w:rsidR="00B72113" w:rsidRPr="00920905" w:rsidRDefault="00B72113" w:rsidP="00E20AC9">
            <w:pPr>
              <w:rPr>
                <w:rFonts w:cstheme="minorHAnsi"/>
                <w:color w:val="FF0000"/>
                <w:szCs w:val="20"/>
              </w:rPr>
            </w:pPr>
          </w:p>
        </w:tc>
        <w:tc>
          <w:tcPr>
            <w:tcW w:w="539" w:type="pct"/>
          </w:tcPr>
          <w:p w14:paraId="54FCA569" w14:textId="77777777" w:rsidR="00B72113" w:rsidRPr="00920905" w:rsidRDefault="00B72113" w:rsidP="00E20AC9">
            <w:pPr>
              <w:rPr>
                <w:rFonts w:cstheme="minorHAnsi"/>
                <w:color w:val="FF0000"/>
                <w:szCs w:val="20"/>
              </w:rPr>
            </w:pPr>
          </w:p>
        </w:tc>
        <w:tc>
          <w:tcPr>
            <w:tcW w:w="605" w:type="pct"/>
          </w:tcPr>
          <w:p w14:paraId="7B6289AD" w14:textId="7F9C8291" w:rsidR="00B72113" w:rsidRPr="00920905" w:rsidRDefault="00B72113" w:rsidP="00E20AC9">
            <w:pPr>
              <w:rPr>
                <w:rFonts w:cstheme="minorHAnsi"/>
                <w:color w:val="FF0000"/>
                <w:szCs w:val="20"/>
              </w:rPr>
            </w:pPr>
            <w:r w:rsidRPr="00B72113">
              <w:rPr>
                <w:rFonts w:cstheme="minorHAnsi"/>
                <w:szCs w:val="20"/>
              </w:rPr>
              <w:t>AC-46275</w:t>
            </w:r>
          </w:p>
        </w:tc>
        <w:tc>
          <w:tcPr>
            <w:tcW w:w="673" w:type="pct"/>
          </w:tcPr>
          <w:p w14:paraId="0E48BE91" w14:textId="77777777" w:rsidR="00B72113" w:rsidRPr="00920905" w:rsidRDefault="00B72113" w:rsidP="00E20AC9">
            <w:pPr>
              <w:rPr>
                <w:rFonts w:cstheme="minorHAnsi"/>
                <w:color w:val="FF0000"/>
                <w:szCs w:val="20"/>
              </w:rPr>
            </w:pPr>
          </w:p>
        </w:tc>
        <w:tc>
          <w:tcPr>
            <w:tcW w:w="2644" w:type="pct"/>
          </w:tcPr>
          <w:p w14:paraId="17C378F3" w14:textId="6FC77202" w:rsidR="00B72113" w:rsidRPr="00920905" w:rsidRDefault="00B72113" w:rsidP="00E20AC9">
            <w:pPr>
              <w:rPr>
                <w:color w:val="FF0000"/>
              </w:rPr>
            </w:pPr>
            <w:r w:rsidRPr="00B72113">
              <w:rPr>
                <w:rFonts w:cstheme="minorHAnsi"/>
                <w:szCs w:val="20"/>
              </w:rPr>
              <w:t>HVAC Fan Cogged V-Belt replacing Smooth V-Belt</w:t>
            </w:r>
          </w:p>
        </w:tc>
      </w:tr>
    </w:tbl>
    <w:p w14:paraId="0F445159" w14:textId="77777777" w:rsidR="00B72113" w:rsidRDefault="00B72113" w:rsidP="004A1270"/>
    <w:p w14:paraId="41E344A4" w14:textId="18005EEF" w:rsidR="004A1270" w:rsidRDefault="004A1270" w:rsidP="004A1270">
      <w:r w:rsidRPr="003A3C8D">
        <w:rPr>
          <w:b/>
        </w:rPr>
        <w:t>Eligibility Requirements:</w:t>
      </w:r>
      <w:r w:rsidRPr="003A3C8D">
        <w:t xml:space="preserve"> The participant must have electricity distributed by</w:t>
      </w:r>
      <w:r w:rsidR="003510B3">
        <w:t xml:space="preserve"> subject Utility</w:t>
      </w:r>
      <w:r w:rsidRPr="003A3C8D">
        <w:t xml:space="preserve"> to the installation service address. This measure does not apply if the RTU already has cogged V-belts.</w:t>
      </w:r>
    </w:p>
    <w:p w14:paraId="46CD240A" w14:textId="77777777" w:rsidR="004A1270" w:rsidRPr="004A1270" w:rsidRDefault="004A1270" w:rsidP="004A1270"/>
    <w:p w14:paraId="1D1D77BC" w14:textId="5E30F3D0" w:rsidR="0056434B" w:rsidRDefault="004A1270" w:rsidP="0056434B">
      <w:r w:rsidRPr="003A3C8D">
        <w:rPr>
          <w:b/>
        </w:rPr>
        <w:t>Implementation Requirements:</w:t>
      </w:r>
      <w:r w:rsidRPr="003A3C8D">
        <w:t xml:space="preserve"> This measure can be applied to supply air and return air fans in RTUs that do not already have a cogged V-belt installed.</w:t>
      </w:r>
      <w:r w:rsidR="007B2F45">
        <w:t xml:space="preserve">  As part of the CQM program design, measure implementation will be conducted by </w:t>
      </w:r>
      <w:r w:rsidR="004472F5">
        <w:t xml:space="preserve">a </w:t>
      </w:r>
      <w:r w:rsidR="007B2F45">
        <w:t xml:space="preserve">trained contractor for systems participating in the CQM that are only </w:t>
      </w:r>
      <w:r w:rsidR="004472F5">
        <w:t xml:space="preserve">equipped with Smooth V-Belt. </w:t>
      </w:r>
      <w:r w:rsidR="0056434B">
        <w:t xml:space="preserve"> HVAC systems served by non-Smooth V-Belt do not qualify for this incentive.  </w:t>
      </w:r>
    </w:p>
    <w:p w14:paraId="46EC7304" w14:textId="415D501D" w:rsidR="004A1270" w:rsidRDefault="004A1270" w:rsidP="004A1270"/>
    <w:p w14:paraId="7805430E" w14:textId="77777777" w:rsidR="004A1270" w:rsidRPr="004A1270" w:rsidRDefault="004A1270" w:rsidP="004A1270"/>
    <w:p w14:paraId="4375A952" w14:textId="1EE53D1B" w:rsidR="00F275EB" w:rsidRDefault="004A1270" w:rsidP="00F275EB">
      <w:r w:rsidRPr="003E2640">
        <w:rPr>
          <w:b/>
        </w:rPr>
        <w:t>Documentation Requirements:</w:t>
      </w:r>
      <w:r w:rsidRPr="003E2640">
        <w:t xml:space="preserve"> </w:t>
      </w:r>
      <w:r w:rsidR="00660B22">
        <w:t xml:space="preserve"> The installer must certify that the existing unit does not have a cogged v-belt in place to qualify. Other requirements are set by each program </w:t>
      </w:r>
      <w:r w:rsidR="006174D6">
        <w:t>that offers</w:t>
      </w:r>
      <w:r w:rsidR="00660B22">
        <w:t xml:space="preserve"> the measure</w:t>
      </w:r>
      <w:r w:rsidR="00874AAE">
        <w:t>.</w:t>
      </w:r>
    </w:p>
    <w:p w14:paraId="713E5ABA" w14:textId="77777777" w:rsidR="00F201C0" w:rsidRDefault="00F201C0" w:rsidP="00F275EB"/>
    <w:p w14:paraId="52AE2C05" w14:textId="12A515D4" w:rsidR="00F275EB" w:rsidRPr="00F201C0" w:rsidRDefault="00F201C0" w:rsidP="00F275EB">
      <w:pPr>
        <w:rPr>
          <w:b/>
        </w:rPr>
      </w:pPr>
      <w:r>
        <w:rPr>
          <w:b/>
        </w:rPr>
        <w:t xml:space="preserve">Standard Practice </w:t>
      </w:r>
      <w:r w:rsidR="00F275EB" w:rsidRPr="00F201C0">
        <w:rPr>
          <w:b/>
        </w:rPr>
        <w:t xml:space="preserve"> Baselines</w:t>
      </w:r>
    </w:p>
    <w:p w14:paraId="493287A5" w14:textId="641769AF" w:rsidR="001221E0" w:rsidRDefault="00114EFB">
      <w:r>
        <w:t xml:space="preserve">Methodology for adjusting </w:t>
      </w:r>
      <w:r w:rsidR="00F201C0">
        <w:t>standard practice</w:t>
      </w:r>
      <w:r>
        <w:t xml:space="preserve"> baseline </w:t>
      </w:r>
      <w:r w:rsidR="00F201C0">
        <w:t xml:space="preserve">is </w:t>
      </w:r>
      <w:r>
        <w:t xml:space="preserve">focused on the “building vintages” </w:t>
      </w:r>
      <w:r w:rsidR="006C3E4B">
        <w:t>in relation to the mechanical system’s expected useful life</w:t>
      </w:r>
      <w:r>
        <w:t>.</w:t>
      </w:r>
      <w:r w:rsidR="002407E2">
        <w:t xml:space="preserve">  </w:t>
      </w:r>
      <w:r w:rsidR="00A21107">
        <w:t>Given that the</w:t>
      </w:r>
      <w:r w:rsidR="00532AB4">
        <w:t xml:space="preserve"> EUL of HVAC system</w:t>
      </w:r>
      <w:r w:rsidR="00A21107">
        <w:t>s</w:t>
      </w:r>
      <w:r w:rsidR="00532AB4">
        <w:t xml:space="preserve"> receiving the energy efficiency measure</w:t>
      </w:r>
      <w:r w:rsidR="00A21107">
        <w:t xml:space="preserve"> is in the order of 15 years; </w:t>
      </w:r>
      <w:r w:rsidR="00532AB4">
        <w:t>it is</w:t>
      </w:r>
      <w:r w:rsidR="00A21107">
        <w:t xml:space="preserve"> expected to a degree </w:t>
      </w:r>
      <w:r w:rsidR="00532AB4">
        <w:t>that this offerin</w:t>
      </w:r>
      <w:r w:rsidR="00A21107">
        <w:t>g is mostly applicable to HVAC systems that have not drastica</w:t>
      </w:r>
      <w:r w:rsidR="00606181">
        <w:t>ll</w:t>
      </w:r>
      <w:r w:rsidR="00A21107">
        <w:t xml:space="preserve">y exceeded its EUL; </w:t>
      </w:r>
      <w:r w:rsidR="00532AB4">
        <w:t>hence, measure savings on this ve</w:t>
      </w:r>
      <w:r w:rsidR="00A21107">
        <w:t xml:space="preserve">rsion of the workpaper </w:t>
      </w:r>
      <w:r w:rsidR="00532AB4">
        <w:t>have been adjusted to exclude</w:t>
      </w:r>
      <w:r w:rsidR="00A21107">
        <w:t xml:space="preserve"> early </w:t>
      </w:r>
      <w:r w:rsidR="002407E2">
        <w:t xml:space="preserve">building </w:t>
      </w:r>
      <w:r w:rsidR="00A21107">
        <w:t xml:space="preserve">vintages, e.g., 1975 and 1985. </w:t>
      </w:r>
    </w:p>
    <w:p w14:paraId="002B90F4" w14:textId="22648C07" w:rsidR="00F201C0" w:rsidRPr="001221E0" w:rsidRDefault="00F201C0">
      <w:r>
        <w:lastRenderedPageBreak/>
        <w:t xml:space="preserve"> </w:t>
      </w:r>
    </w:p>
    <w:p w14:paraId="55867EBC" w14:textId="77777777" w:rsidR="00E16609" w:rsidRPr="00397406" w:rsidRDefault="00E16609" w:rsidP="00697868">
      <w:pPr>
        <w:pStyle w:val="Heading2"/>
        <w:rPr>
          <w:rFonts w:asciiTheme="minorHAnsi" w:hAnsiTheme="minorHAnsi"/>
        </w:rPr>
      </w:pPr>
      <w:r w:rsidRPr="00397406">
        <w:rPr>
          <w:rFonts w:asciiTheme="minorHAnsi" w:hAnsiTheme="minorHAnsi"/>
        </w:rPr>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14:paraId="0A0A8905" w14:textId="77777777" w:rsidR="009C6DF8" w:rsidRDefault="004A1270" w:rsidP="004A1270">
      <w:r w:rsidRPr="00F12A99">
        <w:t xml:space="preserve">A </w:t>
      </w:r>
      <w:r w:rsidR="00F3203F">
        <w:t>V</w:t>
      </w:r>
      <w:r w:rsidRPr="00F12A99">
        <w:t>-belt typically connects the motor and the supply air fan. Some of the larger unitary equipment may also have a v-belt between the return air motor and fan.</w:t>
      </w:r>
      <w:r w:rsidR="00A21107">
        <w:t xml:space="preserve">  </w:t>
      </w:r>
      <w:r w:rsidR="00A21107" w:rsidRPr="00A21107">
        <w:t>According to NREL’s Energy Tips [</w:t>
      </w:r>
      <w:r w:rsidR="00606181">
        <w:t>E</w:t>
      </w:r>
      <w:r w:rsidR="00A21107" w:rsidRPr="00A21107">
        <w:t>], about one-third of the electric motors in the industrial and commercial sectors use belt drives.  Further, the majority of belt drives use V-belts. V-belts use a trapezoidal cross section to create a wedging action on the pulleys to increase friction and the belt’s power transfer capability.</w:t>
      </w:r>
    </w:p>
    <w:p w14:paraId="4CF07881" w14:textId="77777777" w:rsidR="009C6DF8" w:rsidRDefault="009C6DF8" w:rsidP="004A1270"/>
    <w:p w14:paraId="3EEB149D" w14:textId="1B36EDA3" w:rsidR="009C6DF8" w:rsidRDefault="00E25F9B" w:rsidP="004A1270">
      <w:r>
        <w:t>This referenced</w:t>
      </w:r>
      <w:r w:rsidR="00390868">
        <w:t xml:space="preserve"> study</w:t>
      </w:r>
      <w:r w:rsidR="009C6DF8">
        <w:t xml:space="preserve"> [E] s</w:t>
      </w:r>
      <w:r w:rsidR="00390868">
        <w:t>uggest</w:t>
      </w:r>
      <w:r w:rsidR="00435FE2">
        <w:t>s that vast maj</w:t>
      </w:r>
      <w:r w:rsidR="000D00A0">
        <w:t xml:space="preserve">ority of HVAC </w:t>
      </w:r>
      <w:r w:rsidR="00435FE2">
        <w:t>installation</w:t>
      </w:r>
      <w:r w:rsidR="000D00A0">
        <w:t>s</w:t>
      </w:r>
      <w:r w:rsidR="00435FE2">
        <w:t xml:space="preserve"> </w:t>
      </w:r>
      <w:r w:rsidR="009C6DF8">
        <w:t>are expected to</w:t>
      </w:r>
      <w:r w:rsidR="00435FE2">
        <w:t xml:space="preserve"> be equipped with Smooth V-belt</w:t>
      </w:r>
      <w:r w:rsidR="000D00A0">
        <w:t xml:space="preserve"> technology</w:t>
      </w:r>
      <w:r w:rsidR="00435FE2">
        <w:t>; h</w:t>
      </w:r>
      <w:r w:rsidR="000D00A0">
        <w:t xml:space="preserve">owever, the study cannot be used </w:t>
      </w:r>
      <w:r w:rsidR="009C6DF8">
        <w:t>(</w:t>
      </w:r>
      <w:r w:rsidR="000D00A0">
        <w:t xml:space="preserve">with </w:t>
      </w:r>
      <w:r w:rsidR="009C6DF8">
        <w:t xml:space="preserve">a </w:t>
      </w:r>
      <w:r w:rsidR="000D00A0">
        <w:t>high level of certainty</w:t>
      </w:r>
      <w:r w:rsidR="009C6DF8">
        <w:t>)</w:t>
      </w:r>
      <w:r w:rsidR="000D00A0">
        <w:t xml:space="preserve"> to stablished</w:t>
      </w:r>
      <w:r w:rsidR="00435FE2">
        <w:t xml:space="preserve"> Smooth V-belt</w:t>
      </w:r>
      <w:r w:rsidR="000D00A0">
        <w:t xml:space="preserve"> technology </w:t>
      </w:r>
      <w:r w:rsidR="009C6DF8">
        <w:t xml:space="preserve">as the </w:t>
      </w:r>
      <w:r w:rsidR="00390868">
        <w:t>Industry Standard</w:t>
      </w:r>
      <w:r w:rsidR="000D00A0">
        <w:t xml:space="preserve"> Practice condition</w:t>
      </w:r>
      <w:r w:rsidR="00390868">
        <w:t>.</w:t>
      </w:r>
      <w:r w:rsidR="000D00A0">
        <w:t xml:space="preserve">  Further, program offering is only applicable to </w:t>
      </w:r>
      <w:r w:rsidR="009C6DF8">
        <w:t xml:space="preserve">HVAC </w:t>
      </w:r>
      <w:r w:rsidR="000D00A0">
        <w:t>system</w:t>
      </w:r>
      <w:r w:rsidR="009C6DF8">
        <w:t>s</w:t>
      </w:r>
      <w:r w:rsidR="000D00A0">
        <w:t xml:space="preserve"> that</w:t>
      </w:r>
      <w:r w:rsidR="009C6DF8">
        <w:t xml:space="preserve"> are (as the existing condition) </w:t>
      </w:r>
      <w:r w:rsidR="000D00A0">
        <w:t xml:space="preserve">equipped with Smooth V-belt technology. </w:t>
      </w:r>
      <w:r w:rsidR="00390868">
        <w:t xml:space="preserve"> </w:t>
      </w:r>
      <w:r>
        <w:t xml:space="preserve"> </w:t>
      </w:r>
      <w:r w:rsidR="00E91AE6">
        <w:t xml:space="preserve"> </w:t>
      </w:r>
    </w:p>
    <w:p w14:paraId="034B4E97" w14:textId="25475232" w:rsidR="004A1270" w:rsidRPr="00683518" w:rsidRDefault="004A1270" w:rsidP="004A1270"/>
    <w:p w14:paraId="7B12A336" w14:textId="77777777" w:rsidR="004A1270" w:rsidRPr="00F12A99" w:rsidRDefault="004A1270" w:rsidP="004A1270">
      <w:r w:rsidRPr="00F12A99">
        <w:t>The typical smooth v-belts are usually referred to in five basic groups:</w:t>
      </w:r>
      <w:r>
        <w:t xml:space="preserve">  </w:t>
      </w:r>
    </w:p>
    <w:p w14:paraId="150C3CD8" w14:textId="77777777" w:rsidR="004A1270" w:rsidRPr="00B119FB" w:rsidRDefault="004A1270" w:rsidP="004A1270"/>
    <w:p w14:paraId="1186D601" w14:textId="77777777" w:rsidR="004A1270" w:rsidRPr="00B119FB" w:rsidRDefault="004A1270" w:rsidP="004A1270">
      <w:pPr>
        <w:pStyle w:val="ListParagraph"/>
        <w:numPr>
          <w:ilvl w:val="0"/>
          <w:numId w:val="14"/>
        </w:numPr>
      </w:pPr>
      <w:r w:rsidRPr="00B119FB">
        <w:t>“L” belts are low end belts that are for small, fractional horsepower motors and these are not used in RTUs.</w:t>
      </w:r>
      <w:r>
        <w:t xml:space="preserve">  </w:t>
      </w:r>
    </w:p>
    <w:p w14:paraId="7CCCAC4B" w14:textId="77777777" w:rsidR="004A1270" w:rsidRPr="00B119FB" w:rsidRDefault="004A1270" w:rsidP="004A1270">
      <w:pPr>
        <w:pStyle w:val="ListParagraph"/>
        <w:numPr>
          <w:ilvl w:val="0"/>
          <w:numId w:val="14"/>
        </w:numPr>
      </w:pPr>
      <w:r w:rsidRPr="00B119FB">
        <w:t>“A” and “B” belts are the two</w:t>
      </w:r>
      <w:r>
        <w:t xml:space="preserve"> types typically used in RTUs. The “A” belt is </w:t>
      </w:r>
      <w:r w:rsidRPr="00B119FB">
        <w:t>½ inch wi</w:t>
      </w:r>
      <w:r>
        <w:t>dth by 5/16 inch thickness. T</w:t>
      </w:r>
      <w:r w:rsidRPr="00B119FB">
        <w:t>he “B” belt is larger, 21/32 inch wide and 12/32 inch thi</w:t>
      </w:r>
      <w:r>
        <w:t xml:space="preserve">ck so it can carry more power. </w:t>
      </w:r>
      <w:r w:rsidRPr="00B119FB">
        <w:t>V-belts come in a wide variety of lengths where 20 to 100 inches is typical.</w:t>
      </w:r>
    </w:p>
    <w:p w14:paraId="52FAA178" w14:textId="77777777" w:rsidR="004A1270" w:rsidRPr="00B119FB" w:rsidRDefault="004A1270" w:rsidP="004A1270">
      <w:pPr>
        <w:pStyle w:val="ListParagraph"/>
        <w:numPr>
          <w:ilvl w:val="0"/>
          <w:numId w:val="14"/>
        </w:numPr>
      </w:pPr>
      <w:r w:rsidRPr="00B119FB">
        <w:t>“C” and “D” belts are primarily for industrial applications with high power transmission requirements.</w:t>
      </w:r>
    </w:p>
    <w:p w14:paraId="74116BE8" w14:textId="77777777" w:rsidR="004A1270" w:rsidRPr="00B119FB" w:rsidRDefault="004A1270" w:rsidP="004A1270"/>
    <w:p w14:paraId="5B659206" w14:textId="77777777" w:rsidR="004A1270" w:rsidRPr="00F12A99" w:rsidRDefault="004A1270" w:rsidP="004A1270">
      <w:pPr>
        <w:rPr>
          <w:i/>
        </w:rPr>
      </w:pPr>
      <w:r w:rsidRPr="00F12A99">
        <w:t>V-belts are available from various vendors. The cogged version of these belts typically have an “X” added to the designation or model number. For this HVAC Fans Cogged V-Belt Replacement measure, only the “A” and “B” v-belts are considered. A typical “A” v-belt is replaced by a cogged “AX” v-belt and a “B” is replaced by a “BX.” In general, smooth v-belts have an efficiency of 90% to 98% while cogged v-belts have an efficiency of 95% to 98%. Because cogged v-belts are more flexible they are compatible with smaller diameter pulleys and they have less resistance to bending. Lower bending resistance increases the power transmission efficiency, lowers the waste heat, and allows the belt to last longer than a smooth belt.</w:t>
      </w:r>
    </w:p>
    <w:p w14:paraId="629FDC00" w14:textId="77777777" w:rsidR="004A1270" w:rsidRPr="00B119FB" w:rsidRDefault="004A1270" w:rsidP="004A1270"/>
    <w:p w14:paraId="29C7D474" w14:textId="2C83E8A8" w:rsidR="004A1270" w:rsidRDefault="004A1270" w:rsidP="004A1270">
      <w:r w:rsidRPr="00F12A99">
        <w:t>In particular,</w:t>
      </w:r>
      <w:r>
        <w:t xml:space="preserve"> four research papers </w:t>
      </w:r>
      <w:r>
        <w:fldChar w:fldCharType="begin"/>
      </w:r>
      <w:r>
        <w:instrText xml:space="preserve"> REF _Ref327947076 \r \h </w:instrText>
      </w:r>
      <w:r>
        <w:fldChar w:fldCharType="separate"/>
      </w:r>
      <w:r>
        <w:t>[A]</w:t>
      </w:r>
      <w:r>
        <w:fldChar w:fldCharType="end"/>
      </w:r>
      <w:r>
        <w:fldChar w:fldCharType="begin"/>
      </w:r>
      <w:r>
        <w:instrText xml:space="preserve"> REF _Ref327947100 \r \h </w:instrText>
      </w:r>
      <w:r>
        <w:fldChar w:fldCharType="separate"/>
      </w:r>
      <w:r>
        <w:t>[B]</w:t>
      </w:r>
      <w:r>
        <w:fldChar w:fldCharType="end"/>
      </w:r>
      <w:r>
        <w:fldChar w:fldCharType="begin"/>
      </w:r>
      <w:r>
        <w:instrText xml:space="preserve"> REF _Ref327947109 \r \h </w:instrText>
      </w:r>
      <w:r>
        <w:fldChar w:fldCharType="separate"/>
      </w:r>
      <w:r>
        <w:t>[C]</w:t>
      </w:r>
      <w:r>
        <w:fldChar w:fldCharType="end"/>
      </w:r>
      <w:r>
        <w:fldChar w:fldCharType="begin"/>
      </w:r>
      <w:r>
        <w:instrText xml:space="preserve"> REF _Ref327947113 \r \h </w:instrText>
      </w:r>
      <w:r>
        <w:fldChar w:fldCharType="separate"/>
      </w:r>
      <w:r>
        <w:t>[D]</w:t>
      </w:r>
      <w:r>
        <w:fldChar w:fldCharType="end"/>
      </w:r>
      <w:r w:rsidRPr="00F12A99">
        <w:t xml:space="preserve"> show that the cogged v-belt efficiency is 0.4% to 4.8% better than a typical smooth v-belt. A fifth paper by USDOE’s Energy Eff</w:t>
      </w:r>
      <w:r>
        <w:t xml:space="preserve">iciency and Renewable Energy </w:t>
      </w:r>
      <w:r>
        <w:fldChar w:fldCharType="begin"/>
      </w:r>
      <w:r>
        <w:instrText xml:space="preserve"> REF _Ref327947147 \r \h </w:instrText>
      </w:r>
      <w:r>
        <w:fldChar w:fldCharType="separate"/>
      </w:r>
      <w:r>
        <w:t>[E]</w:t>
      </w:r>
      <w:r>
        <w:fldChar w:fldCharType="end"/>
      </w:r>
      <w:r w:rsidRPr="00F12A99">
        <w:t xml:space="preserve"> group reviewed most of the earlier literature and recommended using a conservative 2% </w:t>
      </w:r>
      <w:r w:rsidR="00A73B4D">
        <w:t xml:space="preserve">overall </w:t>
      </w:r>
      <w:r w:rsidRPr="00F12A99">
        <w:t xml:space="preserve">efficiency improvement </w:t>
      </w:r>
      <w:r w:rsidR="00A73B4D">
        <w:t xml:space="preserve">of the supply fan, motor and drive </w:t>
      </w:r>
      <w:r w:rsidRPr="00F12A99">
        <w:t>for energy savings for calculations.</w:t>
      </w:r>
    </w:p>
    <w:p w14:paraId="796FBE33" w14:textId="77777777" w:rsidR="00E25F9B" w:rsidRDefault="00E25F9B" w:rsidP="004A1270"/>
    <w:p w14:paraId="4EE0A629" w14:textId="77777777" w:rsidR="00E25F9B" w:rsidRPr="00F12A99" w:rsidRDefault="00E25F9B" w:rsidP="004A1270">
      <w:pPr>
        <w:rPr>
          <w:i/>
        </w:rPr>
      </w:pPr>
    </w:p>
    <w:p w14:paraId="49C19CE8" w14:textId="77777777" w:rsidR="00D215DB" w:rsidRDefault="00D215DB" w:rsidP="00D215DB">
      <w:pPr>
        <w:pStyle w:val="Heading2"/>
        <w:rPr>
          <w:rFonts w:asciiTheme="minorHAnsi" w:hAnsiTheme="minorHAnsi"/>
        </w:rPr>
      </w:pPr>
      <w:r>
        <w:rPr>
          <w:rFonts w:asciiTheme="minorHAnsi" w:hAnsiTheme="minorHAnsi"/>
        </w:rPr>
        <w:t>1.3 Installation Types and Delivery Mechanisms</w:t>
      </w:r>
    </w:p>
    <w:p w14:paraId="75A1D7AC" w14:textId="77777777" w:rsidR="00B44EAD" w:rsidRPr="00D11D56" w:rsidRDefault="00B44EAD" w:rsidP="00D11D56"/>
    <w:p w14:paraId="4100E27D" w14:textId="77777777" w:rsidR="00944A88" w:rsidRDefault="00B72113" w:rsidP="00B72113">
      <w:pPr>
        <w:rPr>
          <w:rFonts w:cstheme="minorHAnsi"/>
        </w:rPr>
      </w:pPr>
      <w:r>
        <w:rPr>
          <w:rFonts w:cstheme="minorHAnsi"/>
        </w:rPr>
        <w:t>The installation type is</w:t>
      </w:r>
      <w:r w:rsidR="00944A88">
        <w:rPr>
          <w:rFonts w:cstheme="minorHAnsi"/>
        </w:rPr>
        <w:t>:</w:t>
      </w:r>
    </w:p>
    <w:p w14:paraId="6AD81A98" w14:textId="73D18093" w:rsidR="00B72113" w:rsidRPr="00874AAE" w:rsidRDefault="00B72113" w:rsidP="00F201C0">
      <w:pPr>
        <w:pStyle w:val="ListParagraph"/>
        <w:numPr>
          <w:ilvl w:val="0"/>
          <w:numId w:val="20"/>
        </w:numPr>
        <w:rPr>
          <w:rFonts w:cstheme="minorHAnsi"/>
          <w:b/>
        </w:rPr>
      </w:pPr>
      <w:r w:rsidRPr="00874AAE">
        <w:rPr>
          <w:rFonts w:cstheme="minorHAnsi"/>
          <w:b/>
        </w:rPr>
        <w:t>Replace On Burn-out (ROB).</w:t>
      </w:r>
    </w:p>
    <w:p w14:paraId="5549C760" w14:textId="77777777" w:rsidR="00B72113" w:rsidRDefault="00B72113" w:rsidP="00D11D56">
      <w:pPr>
        <w:rPr>
          <w:b/>
        </w:rPr>
      </w:pPr>
    </w:p>
    <w:p w14:paraId="4BFF07F3" w14:textId="0F152604" w:rsidR="00944A88" w:rsidRDefault="00B72113" w:rsidP="00D11D56">
      <w:r>
        <w:lastRenderedPageBreak/>
        <w:t>The delivery method is</w:t>
      </w:r>
      <w:r w:rsidR="00944A88">
        <w:t>:</w:t>
      </w:r>
    </w:p>
    <w:p w14:paraId="59C3A0FE" w14:textId="39603022" w:rsidR="00944A88" w:rsidRPr="00874AAE" w:rsidRDefault="00B44EAD" w:rsidP="00874AAE">
      <w:pPr>
        <w:pStyle w:val="ListParagraph"/>
        <w:numPr>
          <w:ilvl w:val="0"/>
          <w:numId w:val="19"/>
        </w:numPr>
        <w:rPr>
          <w:b/>
        </w:rPr>
      </w:pPr>
      <w:r w:rsidRPr="00874AAE">
        <w:rPr>
          <w:b/>
        </w:rPr>
        <w:t>Direct Install</w:t>
      </w:r>
    </w:p>
    <w:p w14:paraId="6B938720" w14:textId="3A236989" w:rsidR="00944A88" w:rsidRPr="00874AAE" w:rsidRDefault="00B44EAD" w:rsidP="00874AAE">
      <w:pPr>
        <w:pStyle w:val="ListParagraph"/>
        <w:numPr>
          <w:ilvl w:val="0"/>
          <w:numId w:val="19"/>
        </w:numPr>
        <w:rPr>
          <w:b/>
        </w:rPr>
      </w:pPr>
      <w:r w:rsidRPr="00874AAE">
        <w:rPr>
          <w:b/>
        </w:rPr>
        <w:t>Down-</w:t>
      </w:r>
      <w:r w:rsidR="00E20FE7" w:rsidRPr="00874AAE">
        <w:rPr>
          <w:b/>
        </w:rPr>
        <w:t>Stream</w:t>
      </w:r>
      <w:r w:rsidRPr="00874AAE">
        <w:rPr>
          <w:b/>
        </w:rPr>
        <w:t xml:space="preserve"> Incentive – Deemed</w:t>
      </w:r>
    </w:p>
    <w:p w14:paraId="513E625B" w14:textId="099E5BA3" w:rsidR="00944A88" w:rsidRPr="00874AAE" w:rsidRDefault="00B44EAD" w:rsidP="00874AAE">
      <w:pPr>
        <w:pStyle w:val="ListParagraph"/>
        <w:numPr>
          <w:ilvl w:val="0"/>
          <w:numId w:val="19"/>
        </w:numPr>
        <w:rPr>
          <w:b/>
        </w:rPr>
      </w:pPr>
      <w:r w:rsidRPr="00874AAE">
        <w:rPr>
          <w:b/>
        </w:rPr>
        <w:t>Mid-Stream Incentive</w:t>
      </w:r>
    </w:p>
    <w:p w14:paraId="5ADB6C96" w14:textId="77777777" w:rsidR="00944A88" w:rsidRDefault="00944A88" w:rsidP="00D11D56"/>
    <w:p w14:paraId="5CDBD266" w14:textId="53EE81BC" w:rsidR="00D11D56" w:rsidRDefault="00660B22" w:rsidP="00D11D56">
      <w:r>
        <w:t xml:space="preserve">Currently the measure is offered by SCE in the Commercial Quality Maintenance and Commercial Quality Renovation programs, but may be added to other programs at the discretion of </w:t>
      </w:r>
      <w:r w:rsidR="00626BB9">
        <w:t>Program Administrators</w:t>
      </w:r>
      <w:r>
        <w:t xml:space="preserve">. </w:t>
      </w:r>
    </w:p>
    <w:p w14:paraId="78238910" w14:textId="23AD5A75" w:rsidR="00907879" w:rsidRPr="00E9493E" w:rsidRDefault="00D215DB" w:rsidP="00D11D56">
      <w:r>
        <w:tab/>
      </w:r>
    </w:p>
    <w:p w14:paraId="02C05314" w14:textId="77777777" w:rsidR="00944A88" w:rsidRPr="00920905" w:rsidRDefault="00944A88" w:rsidP="00944A88">
      <w:pPr>
        <w:pStyle w:val="NoSpacing"/>
        <w:rPr>
          <w:rFonts w:cstheme="minorHAnsi"/>
          <w:b/>
          <w:i/>
        </w:rPr>
      </w:pPr>
      <w:r w:rsidRPr="00920905">
        <w:rPr>
          <w:b/>
        </w:rPr>
        <w:t>Installation Type Descriptions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944A88" w:rsidRPr="00500C4E" w14:paraId="0A4A3E96" w14:textId="77777777" w:rsidTr="00E20AC9">
        <w:trPr>
          <w:trHeight w:val="20"/>
        </w:trPr>
        <w:tc>
          <w:tcPr>
            <w:tcW w:w="1778" w:type="pct"/>
            <w:vMerge w:val="restart"/>
            <w:shd w:val="clear" w:color="auto" w:fill="D9D9D9" w:themeFill="background1" w:themeFillShade="D9"/>
          </w:tcPr>
          <w:p w14:paraId="273FE941" w14:textId="77777777" w:rsidR="00944A88" w:rsidRPr="00920905" w:rsidRDefault="00944A88" w:rsidP="00E20AC9">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59E424ED" w14:textId="77777777" w:rsidR="00944A88" w:rsidRPr="00920905" w:rsidRDefault="00944A88" w:rsidP="00E20AC9">
            <w:pPr>
              <w:rPr>
                <w:b/>
                <w:sz w:val="18"/>
                <w:szCs w:val="18"/>
              </w:rPr>
            </w:pPr>
            <w:r w:rsidRPr="00920905">
              <w:rPr>
                <w:b/>
                <w:sz w:val="18"/>
                <w:szCs w:val="18"/>
              </w:rPr>
              <w:t>Savings</w:t>
            </w:r>
          </w:p>
        </w:tc>
        <w:tc>
          <w:tcPr>
            <w:tcW w:w="1007" w:type="pct"/>
            <w:gridSpan w:val="2"/>
            <w:shd w:val="clear" w:color="auto" w:fill="D9D9D9" w:themeFill="background1" w:themeFillShade="D9"/>
          </w:tcPr>
          <w:p w14:paraId="20697F6D" w14:textId="77777777" w:rsidR="00944A88" w:rsidRPr="00920905" w:rsidRDefault="00944A88" w:rsidP="00E20AC9">
            <w:pPr>
              <w:rPr>
                <w:b/>
                <w:sz w:val="18"/>
                <w:szCs w:val="18"/>
              </w:rPr>
            </w:pPr>
            <w:r w:rsidRPr="00920905">
              <w:rPr>
                <w:b/>
                <w:sz w:val="18"/>
                <w:szCs w:val="18"/>
              </w:rPr>
              <w:t>Life</w:t>
            </w:r>
          </w:p>
        </w:tc>
      </w:tr>
      <w:tr w:rsidR="00944A88" w:rsidRPr="00500C4E" w14:paraId="3BC52C41" w14:textId="77777777" w:rsidTr="00E20AC9">
        <w:trPr>
          <w:trHeight w:val="20"/>
        </w:trPr>
        <w:tc>
          <w:tcPr>
            <w:tcW w:w="1778" w:type="pct"/>
            <w:vMerge/>
            <w:shd w:val="clear" w:color="auto" w:fill="D9D9D9" w:themeFill="background1" w:themeFillShade="D9"/>
          </w:tcPr>
          <w:p w14:paraId="5D4FA6A1" w14:textId="77777777" w:rsidR="00944A88" w:rsidRPr="00500C4E" w:rsidRDefault="00944A88" w:rsidP="00E20AC9">
            <w:pPr>
              <w:rPr>
                <w:sz w:val="18"/>
                <w:szCs w:val="18"/>
              </w:rPr>
            </w:pPr>
          </w:p>
        </w:tc>
        <w:tc>
          <w:tcPr>
            <w:tcW w:w="1107" w:type="pct"/>
            <w:shd w:val="clear" w:color="auto" w:fill="F2F2F2" w:themeFill="background1" w:themeFillShade="F2"/>
          </w:tcPr>
          <w:p w14:paraId="53B859C9" w14:textId="77777777" w:rsidR="00944A88" w:rsidRPr="00920905" w:rsidRDefault="00944A88" w:rsidP="00E20AC9">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6259520E" w14:textId="77777777" w:rsidR="00944A88" w:rsidRPr="00920905" w:rsidRDefault="00944A88" w:rsidP="00E20AC9">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17ADBB5B" w14:textId="77777777" w:rsidR="00944A88" w:rsidRPr="00920905" w:rsidRDefault="00944A88" w:rsidP="00E20AC9">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7EF9447B" w14:textId="77777777" w:rsidR="00944A88" w:rsidRPr="00920905" w:rsidRDefault="00944A88" w:rsidP="00E20AC9">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944A88" w:rsidRPr="00500C4E" w14:paraId="34DDF64E" w14:textId="77777777" w:rsidTr="00E20AC9">
        <w:trPr>
          <w:trHeight w:val="20"/>
        </w:trPr>
        <w:tc>
          <w:tcPr>
            <w:tcW w:w="1778" w:type="pct"/>
          </w:tcPr>
          <w:p w14:paraId="46DE065A" w14:textId="77777777" w:rsidR="00944A88" w:rsidRPr="00500C4E" w:rsidRDefault="00944A88" w:rsidP="00E20AC9">
            <w:pPr>
              <w:rPr>
                <w:sz w:val="18"/>
                <w:szCs w:val="18"/>
              </w:rPr>
            </w:pPr>
            <w:r w:rsidRPr="00500C4E">
              <w:rPr>
                <w:sz w:val="18"/>
                <w:szCs w:val="18"/>
              </w:rPr>
              <w:t>Replace on Burnout (ROB)</w:t>
            </w:r>
          </w:p>
        </w:tc>
        <w:tc>
          <w:tcPr>
            <w:tcW w:w="1107" w:type="pct"/>
          </w:tcPr>
          <w:p w14:paraId="4EA67985" w14:textId="77777777" w:rsidR="00944A88" w:rsidRPr="00500C4E" w:rsidRDefault="00944A88" w:rsidP="00E20AC9">
            <w:pPr>
              <w:rPr>
                <w:sz w:val="18"/>
                <w:szCs w:val="18"/>
              </w:rPr>
            </w:pPr>
            <w:r w:rsidRPr="00500C4E">
              <w:rPr>
                <w:sz w:val="18"/>
                <w:szCs w:val="18"/>
              </w:rPr>
              <w:t>Above Code or Standard</w:t>
            </w:r>
          </w:p>
        </w:tc>
        <w:tc>
          <w:tcPr>
            <w:tcW w:w="1108" w:type="pct"/>
          </w:tcPr>
          <w:p w14:paraId="6390C073" w14:textId="77777777" w:rsidR="00944A88" w:rsidRPr="00500C4E" w:rsidRDefault="00944A88" w:rsidP="00E20AC9">
            <w:pPr>
              <w:rPr>
                <w:sz w:val="18"/>
                <w:szCs w:val="18"/>
              </w:rPr>
            </w:pPr>
            <w:r w:rsidRPr="00500C4E">
              <w:rPr>
                <w:sz w:val="18"/>
                <w:szCs w:val="18"/>
              </w:rPr>
              <w:t>N/A</w:t>
            </w:r>
          </w:p>
        </w:tc>
        <w:tc>
          <w:tcPr>
            <w:tcW w:w="481" w:type="pct"/>
          </w:tcPr>
          <w:p w14:paraId="4333F383" w14:textId="77777777" w:rsidR="00944A88" w:rsidRPr="00500C4E" w:rsidRDefault="00944A88" w:rsidP="00E20AC9">
            <w:pPr>
              <w:rPr>
                <w:sz w:val="18"/>
                <w:szCs w:val="18"/>
              </w:rPr>
            </w:pPr>
            <w:r w:rsidRPr="00500C4E">
              <w:rPr>
                <w:sz w:val="18"/>
                <w:szCs w:val="18"/>
              </w:rPr>
              <w:t>EUL</w:t>
            </w:r>
          </w:p>
        </w:tc>
        <w:tc>
          <w:tcPr>
            <w:tcW w:w="526" w:type="pct"/>
          </w:tcPr>
          <w:p w14:paraId="3B11CC78" w14:textId="77777777" w:rsidR="00944A88" w:rsidRPr="00500C4E" w:rsidRDefault="00944A88" w:rsidP="00E20AC9">
            <w:pPr>
              <w:rPr>
                <w:sz w:val="18"/>
                <w:szCs w:val="18"/>
              </w:rPr>
            </w:pPr>
            <w:r w:rsidRPr="00500C4E">
              <w:rPr>
                <w:sz w:val="18"/>
                <w:szCs w:val="18"/>
              </w:rPr>
              <w:t>N/A</w:t>
            </w:r>
          </w:p>
        </w:tc>
      </w:tr>
    </w:tbl>
    <w:p w14:paraId="74BA2AF2" w14:textId="77777777" w:rsidR="00944A88" w:rsidRDefault="00944A88" w:rsidP="00944A88">
      <w:pPr>
        <w:pStyle w:val="Reminders"/>
        <w:tabs>
          <w:tab w:val="num" w:pos="360"/>
        </w:tabs>
        <w:rPr>
          <w:rFonts w:asciiTheme="minorHAnsi" w:hAnsiTheme="minorHAnsi" w:cstheme="minorHAnsi"/>
          <w:i w:val="0"/>
          <w:szCs w:val="22"/>
        </w:rPr>
      </w:pPr>
    </w:p>
    <w:p w14:paraId="250E8A8A" w14:textId="77777777" w:rsidR="00944A88" w:rsidRDefault="00944A88" w:rsidP="00944A88">
      <w:pPr>
        <w:pStyle w:val="NoSpacing"/>
      </w:pPr>
      <w:r w:rsidRPr="0087004B">
        <w:t>A delivery mechanism</w:t>
      </w:r>
      <w:r>
        <w:t xml:space="preserve"> </w:t>
      </w:r>
      <w:r w:rsidRPr="0087004B">
        <w:t>is a delivery method paired with an incentive method.</w:t>
      </w:r>
      <w:r>
        <w:t xml:space="preserve"> Delivery mechanisms are</w:t>
      </w:r>
      <w:r w:rsidRPr="0087004B">
        <w:t xml:space="preserve"> </w:t>
      </w:r>
      <w:r>
        <w:t>used by</w:t>
      </w:r>
      <w:r w:rsidRPr="005D6ADB">
        <w:t xml:space="preserve"> program</w:t>
      </w:r>
      <w:r>
        <w:t>s</w:t>
      </w:r>
      <w:r w:rsidRPr="005D6ADB">
        <w:t xml:space="preserve"> to obtain program participation and energy savings.</w:t>
      </w:r>
    </w:p>
    <w:p w14:paraId="39E59717" w14:textId="77777777" w:rsidR="00944A88" w:rsidRDefault="00944A88" w:rsidP="00944A88">
      <w:pPr>
        <w:pStyle w:val="NoSpacing"/>
      </w:pPr>
    </w:p>
    <w:p w14:paraId="2928087D" w14:textId="0EC66559" w:rsidR="00980FC1" w:rsidRPr="00500C4E" w:rsidRDefault="00980FC1" w:rsidP="00980FC1">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980FC1" w:rsidRPr="00A3164A" w14:paraId="16643246" w14:textId="77777777" w:rsidTr="00E91AE6">
        <w:tc>
          <w:tcPr>
            <w:tcW w:w="1297" w:type="pct"/>
            <w:shd w:val="clear" w:color="auto" w:fill="D9D9D9" w:themeFill="background1" w:themeFillShade="D9"/>
          </w:tcPr>
          <w:p w14:paraId="7FDA73A8" w14:textId="77777777" w:rsidR="00980FC1" w:rsidRPr="00920905" w:rsidRDefault="00980FC1" w:rsidP="00E91AE6">
            <w:pPr>
              <w:rPr>
                <w:b/>
                <w:sz w:val="18"/>
                <w:szCs w:val="18"/>
              </w:rPr>
            </w:pPr>
            <w:r w:rsidRPr="00920905">
              <w:rPr>
                <w:b/>
                <w:sz w:val="18"/>
                <w:szCs w:val="18"/>
              </w:rPr>
              <w:t>Delivery Method</w:t>
            </w:r>
          </w:p>
        </w:tc>
        <w:tc>
          <w:tcPr>
            <w:tcW w:w="3703" w:type="pct"/>
            <w:shd w:val="clear" w:color="auto" w:fill="D9D9D9" w:themeFill="background1" w:themeFillShade="D9"/>
          </w:tcPr>
          <w:p w14:paraId="7A93E279" w14:textId="77777777" w:rsidR="00980FC1" w:rsidRPr="00920905" w:rsidRDefault="00980FC1" w:rsidP="00E91AE6">
            <w:pPr>
              <w:rPr>
                <w:b/>
                <w:sz w:val="18"/>
                <w:szCs w:val="18"/>
              </w:rPr>
            </w:pPr>
            <w:r w:rsidRPr="00920905">
              <w:rPr>
                <w:b/>
                <w:sz w:val="18"/>
                <w:szCs w:val="18"/>
              </w:rPr>
              <w:t>Description</w:t>
            </w:r>
          </w:p>
        </w:tc>
      </w:tr>
      <w:tr w:rsidR="00980FC1" w:rsidRPr="00A3164A" w14:paraId="115283BE" w14:textId="77777777" w:rsidTr="00E91AE6">
        <w:tc>
          <w:tcPr>
            <w:tcW w:w="1297" w:type="pct"/>
          </w:tcPr>
          <w:p w14:paraId="0B395A14" w14:textId="77777777" w:rsidR="00980FC1" w:rsidRPr="00920905" w:rsidRDefault="00980FC1" w:rsidP="00E91AE6">
            <w:pPr>
              <w:pStyle w:val="NoSpacing"/>
              <w:rPr>
                <w:sz w:val="18"/>
                <w:szCs w:val="18"/>
              </w:rPr>
            </w:pPr>
            <w:r w:rsidRPr="00920905">
              <w:rPr>
                <w:rFonts w:eastAsiaTheme="minorHAnsi" w:cs="BookAntiqua"/>
                <w:sz w:val="18"/>
                <w:szCs w:val="18"/>
              </w:rPr>
              <w:t>Financial Support</w:t>
            </w:r>
          </w:p>
        </w:tc>
        <w:tc>
          <w:tcPr>
            <w:tcW w:w="3703" w:type="pct"/>
          </w:tcPr>
          <w:p w14:paraId="324161D2" w14:textId="77777777" w:rsidR="00980FC1" w:rsidRPr="00920905" w:rsidRDefault="00980FC1" w:rsidP="00E91AE6">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 projects.</w:t>
            </w:r>
          </w:p>
        </w:tc>
      </w:tr>
      <w:tr w:rsidR="00980FC1" w:rsidRPr="00A3164A" w14:paraId="3B7F306D" w14:textId="77777777" w:rsidTr="00E91AE6">
        <w:tc>
          <w:tcPr>
            <w:tcW w:w="1297" w:type="pct"/>
          </w:tcPr>
          <w:p w14:paraId="2594CA52" w14:textId="77777777" w:rsidR="00980FC1" w:rsidRPr="00920905" w:rsidRDefault="00980FC1" w:rsidP="00E91AE6">
            <w:pPr>
              <w:pStyle w:val="NoSpacing"/>
              <w:rPr>
                <w:sz w:val="18"/>
                <w:szCs w:val="18"/>
              </w:rPr>
            </w:pPr>
            <w:r>
              <w:rPr>
                <w:rFonts w:eastAsiaTheme="minorHAnsi" w:cstheme="minorBidi"/>
                <w:sz w:val="18"/>
                <w:szCs w:val="18"/>
              </w:rPr>
              <w:t>Mid-Stream Programs</w:t>
            </w:r>
          </w:p>
        </w:tc>
        <w:tc>
          <w:tcPr>
            <w:tcW w:w="3703" w:type="pct"/>
          </w:tcPr>
          <w:p w14:paraId="58226B67" w14:textId="77777777" w:rsidR="00980FC1" w:rsidRPr="003D2981" w:rsidRDefault="00980FC1" w:rsidP="00E91AE6">
            <w:pPr>
              <w:pStyle w:val="NoSpacing"/>
              <w:rPr>
                <w:i/>
                <w:sz w:val="18"/>
                <w:szCs w:val="18"/>
              </w:rPr>
            </w:pPr>
            <w:r w:rsidRPr="003D2981">
              <w:rPr>
                <w:rFonts w:cs="Helv"/>
                <w:i/>
                <w:sz w:val="18"/>
                <w:szCs w:val="18"/>
              </w:rPr>
              <w:t xml:space="preserve">See Mid-Stream Incentive in the </w:t>
            </w:r>
            <w:r w:rsidRPr="003D2981">
              <w:rPr>
                <w:i/>
                <w:sz w:val="18"/>
                <w:szCs w:val="18"/>
              </w:rPr>
              <w:t>Incentive Method Descriptions table.</w:t>
            </w:r>
          </w:p>
        </w:tc>
      </w:tr>
    </w:tbl>
    <w:p w14:paraId="667EEEB8" w14:textId="77777777" w:rsidR="00980FC1" w:rsidRPr="00500C4E" w:rsidRDefault="00980FC1" w:rsidP="00944A88">
      <w:pPr>
        <w:pStyle w:val="NoSpacing"/>
      </w:pPr>
    </w:p>
    <w:p w14:paraId="62038CF8" w14:textId="77777777" w:rsidR="00944A88" w:rsidRPr="00500C4E" w:rsidRDefault="00944A88" w:rsidP="00944A88"/>
    <w:p w14:paraId="3D43E388" w14:textId="77777777" w:rsidR="00944A88" w:rsidRPr="00500C4E" w:rsidRDefault="00944A88" w:rsidP="00944A88">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944A88" w:rsidRPr="00A3164A" w14:paraId="73BF5D13" w14:textId="77777777" w:rsidTr="00E20AC9">
        <w:tc>
          <w:tcPr>
            <w:tcW w:w="1297" w:type="pct"/>
            <w:shd w:val="clear" w:color="auto" w:fill="D9D9D9" w:themeFill="background1" w:themeFillShade="D9"/>
          </w:tcPr>
          <w:p w14:paraId="707C9F49" w14:textId="77777777" w:rsidR="00944A88" w:rsidRPr="00920905" w:rsidRDefault="00944A88" w:rsidP="00E20AC9">
            <w:pPr>
              <w:rPr>
                <w:b/>
                <w:sz w:val="18"/>
                <w:szCs w:val="18"/>
              </w:rPr>
            </w:pPr>
            <w:r w:rsidRPr="00920905">
              <w:rPr>
                <w:b/>
                <w:sz w:val="18"/>
                <w:szCs w:val="18"/>
              </w:rPr>
              <w:t>Incentive Method</w:t>
            </w:r>
          </w:p>
        </w:tc>
        <w:tc>
          <w:tcPr>
            <w:tcW w:w="3703" w:type="pct"/>
            <w:shd w:val="clear" w:color="auto" w:fill="D9D9D9" w:themeFill="background1" w:themeFillShade="D9"/>
          </w:tcPr>
          <w:p w14:paraId="77F7AD46" w14:textId="77777777" w:rsidR="00944A88" w:rsidRPr="00920905" w:rsidRDefault="00944A88" w:rsidP="00E20AC9">
            <w:pPr>
              <w:rPr>
                <w:b/>
                <w:sz w:val="18"/>
                <w:szCs w:val="18"/>
              </w:rPr>
            </w:pPr>
            <w:r w:rsidRPr="00920905">
              <w:rPr>
                <w:b/>
                <w:sz w:val="18"/>
                <w:szCs w:val="18"/>
              </w:rPr>
              <w:t>Description</w:t>
            </w:r>
          </w:p>
        </w:tc>
      </w:tr>
      <w:tr w:rsidR="004D2B62" w:rsidRPr="00A3164A" w14:paraId="1E0AB7F7" w14:textId="77777777" w:rsidTr="00E20AC9">
        <w:tc>
          <w:tcPr>
            <w:tcW w:w="1297" w:type="pct"/>
          </w:tcPr>
          <w:p w14:paraId="0F628B7B" w14:textId="0CFC4702" w:rsidR="004D2B62" w:rsidRPr="00920905" w:rsidRDefault="004D2B62" w:rsidP="004D2B62">
            <w:pPr>
              <w:autoSpaceDE w:val="0"/>
              <w:autoSpaceDN w:val="0"/>
              <w:adjustRightInd w:val="0"/>
              <w:spacing w:line="240" w:lineRule="atLeast"/>
              <w:rPr>
                <w:sz w:val="18"/>
                <w:szCs w:val="18"/>
              </w:rPr>
            </w:pPr>
            <w:r>
              <w:rPr>
                <w:rFonts w:eastAsiaTheme="minorHAnsi" w:cs="BookAntiqua"/>
                <w:sz w:val="18"/>
                <w:szCs w:val="18"/>
              </w:rPr>
              <w:t>Direct Install</w:t>
            </w:r>
          </w:p>
        </w:tc>
        <w:tc>
          <w:tcPr>
            <w:tcW w:w="3703" w:type="pct"/>
          </w:tcPr>
          <w:p w14:paraId="528D9E9C" w14:textId="2C689521" w:rsidR="004D2B62" w:rsidRPr="00920905" w:rsidRDefault="004D2B62" w:rsidP="004D2B62">
            <w:pPr>
              <w:autoSpaceDE w:val="0"/>
              <w:autoSpaceDN w:val="0"/>
              <w:adjustRightInd w:val="0"/>
              <w:spacing w:line="240" w:lineRule="atLeast"/>
              <w:rPr>
                <w:sz w:val="18"/>
                <w:szCs w:val="18"/>
              </w:rPr>
            </w:pPr>
            <w:r w:rsidRPr="004D2B62">
              <w:rPr>
                <w:rFonts w:eastAsiaTheme="minorHAnsi" w:cs="BookAntiqua"/>
                <w:sz w:val="18"/>
                <w:szCs w:val="18"/>
              </w:rPr>
              <w:t>The utility program performs an assessment of the customer’s facility, provides recommendations, and implements energy efficiency measures for free.</w:t>
            </w:r>
          </w:p>
        </w:tc>
      </w:tr>
      <w:tr w:rsidR="004D2B62" w:rsidRPr="00A3164A" w14:paraId="6EEF68CE" w14:textId="77777777" w:rsidTr="00E20AC9">
        <w:tc>
          <w:tcPr>
            <w:tcW w:w="1297" w:type="pct"/>
          </w:tcPr>
          <w:p w14:paraId="1629A4A1" w14:textId="2E0FEAB0" w:rsidR="004D2B62" w:rsidRPr="00920905" w:rsidRDefault="004D2B62" w:rsidP="004D2B62">
            <w:pPr>
              <w:autoSpaceDE w:val="0"/>
              <w:autoSpaceDN w:val="0"/>
              <w:adjustRightInd w:val="0"/>
              <w:spacing w:line="240" w:lineRule="atLeast"/>
              <w:rPr>
                <w:rFonts w:cs="Helv"/>
                <w:sz w:val="18"/>
                <w:szCs w:val="18"/>
              </w:rPr>
            </w:pPr>
            <w:r w:rsidRPr="004D2B62">
              <w:rPr>
                <w:rFonts w:cs="BookAntiqua"/>
                <w:sz w:val="18"/>
                <w:szCs w:val="18"/>
              </w:rPr>
              <w:t>Down-Stream Incentive - Deemed</w:t>
            </w:r>
          </w:p>
        </w:tc>
        <w:tc>
          <w:tcPr>
            <w:tcW w:w="3703" w:type="pct"/>
          </w:tcPr>
          <w:p w14:paraId="569D6318" w14:textId="4F4307F8" w:rsidR="004D2B62" w:rsidRPr="00920905" w:rsidRDefault="004D2B62" w:rsidP="004D2B62">
            <w:pPr>
              <w:autoSpaceDE w:val="0"/>
              <w:autoSpaceDN w:val="0"/>
              <w:adjustRightInd w:val="0"/>
              <w:spacing w:line="240" w:lineRule="atLeast"/>
              <w:rPr>
                <w:rFonts w:cs="Helv"/>
                <w:sz w:val="18"/>
                <w:szCs w:val="18"/>
              </w:rPr>
            </w:pPr>
            <w:r w:rsidRPr="004D2B62">
              <w:rPr>
                <w:rFonts w:cs="BookAntiqua"/>
                <w:sz w:val="18"/>
                <w:szCs w:val="18"/>
              </w:rPr>
              <w:t>The customer installs qualifying energy efficient equipment and submits an incentive application to the utility program. Upon application approval, the utility program pays an incentive to the customer.</w:t>
            </w:r>
          </w:p>
        </w:tc>
      </w:tr>
      <w:tr w:rsidR="004D2B62" w:rsidRPr="00A3164A" w14:paraId="0B025F18" w14:textId="77777777" w:rsidTr="00E20AC9">
        <w:tc>
          <w:tcPr>
            <w:tcW w:w="1297" w:type="pct"/>
          </w:tcPr>
          <w:p w14:paraId="1F33E171" w14:textId="1D82E4D7" w:rsidR="004D2B62" w:rsidRPr="00920905" w:rsidRDefault="004D2B62" w:rsidP="004D2B62">
            <w:pPr>
              <w:autoSpaceDE w:val="0"/>
              <w:autoSpaceDN w:val="0"/>
              <w:adjustRightInd w:val="0"/>
              <w:spacing w:line="240" w:lineRule="atLeast"/>
              <w:rPr>
                <w:rFonts w:cs="Helv"/>
                <w:sz w:val="18"/>
                <w:szCs w:val="18"/>
              </w:rPr>
            </w:pPr>
            <w:r w:rsidRPr="004D2B62">
              <w:rPr>
                <w:rFonts w:cs="BookAntiqua"/>
                <w:sz w:val="18"/>
                <w:szCs w:val="18"/>
              </w:rPr>
              <w:t>Mid-Stream Incentive</w:t>
            </w:r>
          </w:p>
        </w:tc>
        <w:tc>
          <w:tcPr>
            <w:tcW w:w="3703" w:type="pct"/>
          </w:tcPr>
          <w:p w14:paraId="245C7BB4" w14:textId="5B036833" w:rsidR="004D2B62" w:rsidRPr="00920905" w:rsidRDefault="004D2B62" w:rsidP="004D2B62">
            <w:pPr>
              <w:autoSpaceDE w:val="0"/>
              <w:autoSpaceDN w:val="0"/>
              <w:adjustRightInd w:val="0"/>
              <w:spacing w:line="240" w:lineRule="atLeast"/>
              <w:rPr>
                <w:rFonts w:cs="Helv"/>
                <w:sz w:val="18"/>
                <w:szCs w:val="18"/>
              </w:rPr>
            </w:pPr>
            <w:r w:rsidRPr="004D2B62">
              <w:rPr>
                <w:rFonts w:cs="BookAntiqua"/>
                <w:sz w:val="18"/>
                <w:szCs w:val="18"/>
              </w:rPr>
              <w:t>The utility program offers buydowns and incentives to third parties (typically retailers, distributors, and contractors), who then stock, promote, lower prices on, and/or sell energy efficient equipment. Contractors install energy efficiency equipment, sometimes using specified quality procedures, at the customer’s property.</w:t>
            </w:r>
          </w:p>
        </w:tc>
      </w:tr>
    </w:tbl>
    <w:p w14:paraId="1C404AC9" w14:textId="77777777" w:rsidR="00944A88" w:rsidRDefault="00944A88" w:rsidP="00944A88"/>
    <w:p w14:paraId="515D4A50" w14:textId="77777777" w:rsidR="00D215DB" w:rsidRDefault="00D215DB" w:rsidP="00D215DB">
      <w:pPr>
        <w:pStyle w:val="Heading2"/>
        <w:rPr>
          <w:rFonts w:asciiTheme="minorHAnsi" w:hAnsiTheme="minorHAnsi" w:cstheme="minorHAnsi"/>
        </w:rPr>
      </w:pPr>
      <w:bookmarkStart w:id="9" w:name="_Toc214003084"/>
      <w:r>
        <w:rPr>
          <w:rFonts w:asciiTheme="minorHAnsi" w:hAnsiTheme="minorHAnsi" w:cstheme="minorHAnsi"/>
        </w:rPr>
        <w:t>1.4 Measure Parameters</w:t>
      </w:r>
    </w:p>
    <w:bookmarkEnd w:id="9"/>
    <w:p w14:paraId="02306993" w14:textId="77777777" w:rsidR="00D215DB" w:rsidRDefault="00D215DB" w:rsidP="00D215DB">
      <w:pPr>
        <w:pStyle w:val="Heading3"/>
        <w:rPr>
          <w:rFonts w:asciiTheme="minorHAnsi" w:hAnsiTheme="minorHAnsi"/>
        </w:rPr>
      </w:pPr>
      <w:r>
        <w:rPr>
          <w:rFonts w:asciiTheme="minorHAnsi" w:hAnsiTheme="minorHAnsi"/>
        </w:rPr>
        <w:t>1.4.1 DEER Data</w:t>
      </w:r>
    </w:p>
    <w:p w14:paraId="2EA7A3AB" w14:textId="71D0454B" w:rsidR="00D11D56" w:rsidRDefault="00D11D56" w:rsidP="00D11D56">
      <w:bookmarkStart w:id="10" w:name="_Toc214003087"/>
      <w:r w:rsidRPr="008A57A2">
        <w:t>This measure is</w:t>
      </w:r>
      <w:r w:rsidR="00A67E71">
        <w:t xml:space="preserve"> currently </w:t>
      </w:r>
      <w:r w:rsidRPr="008A57A2">
        <w:t xml:space="preserve">not </w:t>
      </w:r>
      <w:r w:rsidR="00A67E71">
        <w:t>supported by DEER</w:t>
      </w:r>
      <w:r w:rsidRPr="008A57A2">
        <w:t>. Th</w:t>
      </w:r>
      <w:r w:rsidR="00A67E71">
        <w:t xml:space="preserve">e </w:t>
      </w:r>
      <w:r w:rsidRPr="008A57A2">
        <w:t>measure</w:t>
      </w:r>
      <w:r w:rsidR="00A67E71">
        <w:t xml:space="preserve"> is evaluated using </w:t>
      </w:r>
      <w:r w:rsidRPr="008A57A2">
        <w:t xml:space="preserve">DEER2014 </w:t>
      </w:r>
      <w:r w:rsidR="00A67E71">
        <w:t xml:space="preserve">commercial </w:t>
      </w:r>
      <w:r w:rsidRPr="008A57A2">
        <w:t xml:space="preserve">prototypes generated </w:t>
      </w:r>
      <w:r w:rsidR="00A67E71">
        <w:t xml:space="preserve">by </w:t>
      </w:r>
      <w:r w:rsidRPr="008A57A2">
        <w:t>MASControl v3.00.19</w:t>
      </w:r>
      <w:r w:rsidR="005308A9">
        <w:t xml:space="preserve"> using</w:t>
      </w:r>
      <w:r w:rsidRPr="008A57A2">
        <w:t xml:space="preserve"> the Customer Average (CAv) case option for the following tech IDs:</w:t>
      </w:r>
    </w:p>
    <w:p w14:paraId="007BCE22" w14:textId="77777777" w:rsidR="00A21107" w:rsidRDefault="00A21107" w:rsidP="00D11D56"/>
    <w:p w14:paraId="703EABF0" w14:textId="77777777" w:rsidR="00D11D56" w:rsidRDefault="00D11D56" w:rsidP="00D11D56">
      <w:pPr>
        <w:pStyle w:val="ListParagraph"/>
        <w:numPr>
          <w:ilvl w:val="0"/>
          <w:numId w:val="15"/>
        </w:numPr>
      </w:pPr>
      <w:r>
        <w:t>D08-NE-HVAC-airAC-SpltPkg-110to134kBtuh-11p0eer</w:t>
      </w:r>
    </w:p>
    <w:p w14:paraId="2F5707B5" w14:textId="0E473577" w:rsidR="00D11D56" w:rsidRDefault="00D11D56" w:rsidP="00D11D56">
      <w:pPr>
        <w:pStyle w:val="ListParagraph"/>
        <w:numPr>
          <w:ilvl w:val="0"/>
          <w:numId w:val="15"/>
        </w:numPr>
      </w:pPr>
      <w:r>
        <w:t>D08-NE-HVAC-airHP-SpltPkg-110to134kBtuh-11p5eer-3p4cop</w:t>
      </w:r>
    </w:p>
    <w:p w14:paraId="5ABF9B0B" w14:textId="35F0B94D" w:rsidR="00A73B4D" w:rsidRDefault="00D11D56" w:rsidP="00A73B4D">
      <w:pPr>
        <w:pStyle w:val="ListParagraph"/>
        <w:numPr>
          <w:ilvl w:val="0"/>
          <w:numId w:val="15"/>
        </w:numPr>
      </w:pPr>
      <w:r>
        <w:t>D08-NE-ILtg-Power-Exit-60pct (for “Lodging – Motel” building type only)</w:t>
      </w:r>
    </w:p>
    <w:p w14:paraId="2CA49B60" w14:textId="77777777" w:rsidR="00A73B4D" w:rsidRDefault="00A73B4D" w:rsidP="00D11D56">
      <w:pPr>
        <w:rPr>
          <w:szCs w:val="22"/>
        </w:rPr>
      </w:pPr>
    </w:p>
    <w:p w14:paraId="14A73D9B" w14:textId="5440E850" w:rsidR="007F416D" w:rsidRDefault="00C30FF1" w:rsidP="00D11D56">
      <w:pPr>
        <w:rPr>
          <w:szCs w:val="22"/>
        </w:rPr>
      </w:pPr>
      <w:r>
        <w:rPr>
          <w:szCs w:val="22"/>
        </w:rPr>
        <w:lastRenderedPageBreak/>
        <w:t>T</w:t>
      </w:r>
      <w:r w:rsidR="00433AE7">
        <w:rPr>
          <w:szCs w:val="22"/>
        </w:rPr>
        <w:t xml:space="preserve">he </w:t>
      </w:r>
      <w:r w:rsidR="00A276DD">
        <w:rPr>
          <w:szCs w:val="22"/>
        </w:rPr>
        <w:t xml:space="preserve">first </w:t>
      </w:r>
      <w:r w:rsidR="00EF0E90">
        <w:rPr>
          <w:szCs w:val="22"/>
        </w:rPr>
        <w:t xml:space="preserve">two </w:t>
      </w:r>
      <w:r w:rsidR="00433AE7">
        <w:rPr>
          <w:szCs w:val="22"/>
        </w:rPr>
        <w:t>tech IDs</w:t>
      </w:r>
      <w:r>
        <w:rPr>
          <w:szCs w:val="22"/>
        </w:rPr>
        <w:t xml:space="preserve"> are able to create </w:t>
      </w:r>
      <w:r w:rsidR="00433AE7">
        <w:rPr>
          <w:szCs w:val="22"/>
        </w:rPr>
        <w:t>Customer Average prototype</w:t>
      </w:r>
      <w:r>
        <w:rPr>
          <w:szCs w:val="22"/>
        </w:rPr>
        <w:t>s</w:t>
      </w:r>
      <w:r w:rsidR="00862C3D">
        <w:rPr>
          <w:szCs w:val="22"/>
        </w:rPr>
        <w:t xml:space="preserve"> for every building type except “Lodging – Motel”</w:t>
      </w:r>
      <w:r w:rsidR="00433AE7">
        <w:rPr>
          <w:szCs w:val="22"/>
        </w:rPr>
        <w:t xml:space="preserve"> with </w:t>
      </w:r>
      <w:r w:rsidR="00E3249A">
        <w:rPr>
          <w:szCs w:val="22"/>
        </w:rPr>
        <w:t>a gas pack or heat pump system type</w:t>
      </w:r>
      <w:r w:rsidR="00433AE7">
        <w:rPr>
          <w:szCs w:val="22"/>
        </w:rPr>
        <w:t xml:space="preserve">. </w:t>
      </w:r>
      <w:r>
        <w:t>Selecting the tech ID</w:t>
      </w:r>
      <w:r w:rsidR="00E3249A">
        <w:t>s</w:t>
      </w:r>
      <w:r>
        <w:t xml:space="preserve"> </w:t>
      </w:r>
      <w:r w:rsidR="00E3249A">
        <w:t>with the “</w:t>
      </w:r>
      <w:r>
        <w:t xml:space="preserve">110to134kBtuh” simulated system cooling capacity provides the greatest number of prototype models while staying close to the assumed cooling capacity range for units within the utility programs. </w:t>
      </w:r>
      <w:r w:rsidR="00862C3D">
        <w:rPr>
          <w:szCs w:val="22"/>
        </w:rPr>
        <w:t>The “Lodging – Motel” building type was created for both system types using the third tech ID.</w:t>
      </w:r>
    </w:p>
    <w:p w14:paraId="4AC36E20" w14:textId="77777777" w:rsidR="00433AE7" w:rsidRDefault="00433AE7" w:rsidP="00D11D56">
      <w:pPr>
        <w:rPr>
          <w:szCs w:val="22"/>
        </w:rPr>
      </w:pPr>
    </w:p>
    <w:p w14:paraId="0F3BCEC0" w14:textId="77777777" w:rsidR="00796486" w:rsidRPr="00920905" w:rsidRDefault="00796486" w:rsidP="00796486">
      <w:pPr>
        <w:pStyle w:val="Caption"/>
        <w:keepNext/>
        <w:jc w:val="center"/>
        <w:rPr>
          <w:rFonts w:cs="Arial"/>
          <w:szCs w:val="22"/>
        </w:rPr>
      </w:pPr>
      <w:r w:rsidRPr="00920905">
        <w:rPr>
          <w:rFonts w:cs="Arial"/>
          <w:szCs w:val="22"/>
        </w:rPr>
        <w:t>DEER Difference Summary</w:t>
      </w:r>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96486" w:rsidRPr="00500C4E" w14:paraId="0B42D801" w14:textId="77777777" w:rsidTr="00E20AC9">
        <w:trPr>
          <w:trHeight w:val="20"/>
        </w:trPr>
        <w:tc>
          <w:tcPr>
            <w:tcW w:w="1548" w:type="pct"/>
            <w:shd w:val="clear" w:color="auto" w:fill="D9D9D9" w:themeFill="background1" w:themeFillShade="D9"/>
          </w:tcPr>
          <w:p w14:paraId="04776363" w14:textId="77777777" w:rsidR="00796486" w:rsidRPr="00920905" w:rsidRDefault="00796486" w:rsidP="00E20AC9">
            <w:pPr>
              <w:tabs>
                <w:tab w:val="right" w:pos="2957"/>
              </w:tabs>
              <w:rPr>
                <w:rFonts w:cs="Arial"/>
                <w:b/>
                <w:szCs w:val="20"/>
              </w:rPr>
            </w:pPr>
            <w:r w:rsidRPr="00920905">
              <w:rPr>
                <w:rFonts w:cs="Arial"/>
                <w:b/>
                <w:szCs w:val="20"/>
              </w:rPr>
              <w:t>DEER</w:t>
            </w:r>
            <w:r w:rsidRPr="00500C4E">
              <w:rPr>
                <w:rFonts w:cs="Arial"/>
                <w:b/>
                <w:szCs w:val="20"/>
              </w:rPr>
              <w:t xml:space="preserve"> </w:t>
            </w:r>
            <w:r>
              <w:rPr>
                <w:rFonts w:cs="Arial"/>
                <w:b/>
                <w:szCs w:val="20"/>
              </w:rPr>
              <w:t>Item</w:t>
            </w:r>
          </w:p>
        </w:tc>
        <w:tc>
          <w:tcPr>
            <w:tcW w:w="3452" w:type="pct"/>
            <w:shd w:val="clear" w:color="auto" w:fill="D9D9D9" w:themeFill="background1" w:themeFillShade="D9"/>
          </w:tcPr>
          <w:p w14:paraId="732C72F3" w14:textId="77777777" w:rsidR="00796486" w:rsidRPr="00920905" w:rsidRDefault="00796486" w:rsidP="00E20AC9">
            <w:pPr>
              <w:rPr>
                <w:rFonts w:cs="Arial"/>
                <w:b/>
                <w:szCs w:val="20"/>
              </w:rPr>
            </w:pPr>
            <w:r w:rsidRPr="00920905">
              <w:rPr>
                <w:rFonts w:cs="Arial"/>
                <w:b/>
                <w:szCs w:val="20"/>
              </w:rPr>
              <w:t xml:space="preserve">Used </w:t>
            </w:r>
            <w:r>
              <w:rPr>
                <w:rFonts w:cs="Arial"/>
                <w:b/>
                <w:szCs w:val="20"/>
              </w:rPr>
              <w:t>for</w:t>
            </w:r>
            <w:r w:rsidRPr="00920905">
              <w:rPr>
                <w:rFonts w:cs="Arial"/>
                <w:b/>
                <w:szCs w:val="20"/>
              </w:rPr>
              <w:t xml:space="preserve"> Workpaper?</w:t>
            </w:r>
          </w:p>
        </w:tc>
      </w:tr>
      <w:tr w:rsidR="00796486" w:rsidRPr="00500C4E" w14:paraId="216C0751" w14:textId="77777777" w:rsidTr="00E20AC9">
        <w:trPr>
          <w:trHeight w:val="20"/>
        </w:trPr>
        <w:tc>
          <w:tcPr>
            <w:tcW w:w="1548" w:type="pct"/>
          </w:tcPr>
          <w:p w14:paraId="1E655E6E" w14:textId="77777777" w:rsidR="00796486" w:rsidRPr="00920905" w:rsidRDefault="00796486" w:rsidP="00E20AC9">
            <w:pPr>
              <w:rPr>
                <w:rFonts w:cs="Arial"/>
                <w:szCs w:val="20"/>
              </w:rPr>
            </w:pPr>
            <w:r w:rsidRPr="00920905">
              <w:rPr>
                <w:rFonts w:cs="Arial"/>
                <w:szCs w:val="20"/>
              </w:rPr>
              <w:t>Modified DEER methodology</w:t>
            </w:r>
          </w:p>
        </w:tc>
        <w:tc>
          <w:tcPr>
            <w:tcW w:w="3452" w:type="pct"/>
          </w:tcPr>
          <w:p w14:paraId="31E4610D" w14:textId="5DFF4A67" w:rsidR="00796486" w:rsidRPr="0059495F" w:rsidRDefault="004D114C" w:rsidP="00E20AC9">
            <w:pPr>
              <w:rPr>
                <w:rFonts w:cs="Arial"/>
                <w:b/>
                <w:szCs w:val="20"/>
              </w:rPr>
            </w:pPr>
            <w:r>
              <w:rPr>
                <w:rFonts w:cs="Arial"/>
                <w:szCs w:val="20"/>
              </w:rPr>
              <w:t>Yes</w:t>
            </w:r>
          </w:p>
        </w:tc>
      </w:tr>
      <w:tr w:rsidR="00796486" w:rsidRPr="00500C4E" w14:paraId="23808555" w14:textId="77777777" w:rsidTr="00E20AC9">
        <w:trPr>
          <w:trHeight w:val="20"/>
        </w:trPr>
        <w:tc>
          <w:tcPr>
            <w:tcW w:w="1548" w:type="pct"/>
          </w:tcPr>
          <w:p w14:paraId="48616EDD" w14:textId="77777777" w:rsidR="00796486" w:rsidRPr="00920905" w:rsidRDefault="00796486" w:rsidP="00E20AC9">
            <w:pPr>
              <w:rPr>
                <w:rFonts w:cs="Arial"/>
                <w:szCs w:val="20"/>
              </w:rPr>
            </w:pPr>
            <w:r w:rsidRPr="00920905">
              <w:rPr>
                <w:rFonts w:cs="Arial"/>
                <w:szCs w:val="20"/>
              </w:rPr>
              <w:t>Scaled DEER measure</w:t>
            </w:r>
          </w:p>
        </w:tc>
        <w:tc>
          <w:tcPr>
            <w:tcW w:w="3452" w:type="pct"/>
          </w:tcPr>
          <w:p w14:paraId="5CE6F637" w14:textId="77777777" w:rsidR="00796486" w:rsidRPr="00D26F76" w:rsidRDefault="00796486" w:rsidP="00E20AC9">
            <w:pPr>
              <w:pStyle w:val="CommentText"/>
            </w:pPr>
            <w:r>
              <w:t xml:space="preserve">No </w:t>
            </w:r>
          </w:p>
        </w:tc>
      </w:tr>
      <w:tr w:rsidR="00796486" w:rsidRPr="00500C4E" w14:paraId="028672AE" w14:textId="77777777" w:rsidTr="00E20AC9">
        <w:trPr>
          <w:trHeight w:val="20"/>
        </w:trPr>
        <w:tc>
          <w:tcPr>
            <w:tcW w:w="1548" w:type="pct"/>
          </w:tcPr>
          <w:p w14:paraId="1487D032" w14:textId="77777777" w:rsidR="00796486" w:rsidRPr="00920905" w:rsidRDefault="00796486" w:rsidP="00E20AC9">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394AB820" w14:textId="77777777" w:rsidR="00796486" w:rsidRPr="0059495F" w:rsidRDefault="00796486" w:rsidP="00E20AC9">
            <w:pPr>
              <w:rPr>
                <w:rFonts w:cs="Arial"/>
                <w:szCs w:val="20"/>
              </w:rPr>
            </w:pPr>
            <w:r>
              <w:rPr>
                <w:rFonts w:cs="Arial"/>
                <w:szCs w:val="20"/>
              </w:rPr>
              <w:t>Yes</w:t>
            </w:r>
          </w:p>
        </w:tc>
      </w:tr>
      <w:tr w:rsidR="00796486" w:rsidRPr="00500C4E" w14:paraId="16FAA0BB" w14:textId="77777777" w:rsidTr="00E20AC9">
        <w:trPr>
          <w:trHeight w:val="20"/>
        </w:trPr>
        <w:tc>
          <w:tcPr>
            <w:tcW w:w="1548" w:type="pct"/>
          </w:tcPr>
          <w:p w14:paraId="7AEA2286" w14:textId="77777777" w:rsidR="00796486" w:rsidRPr="00920905" w:rsidRDefault="00796486" w:rsidP="00E20AC9">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033B5A0F" w14:textId="77777777" w:rsidR="00796486" w:rsidRPr="0059495F" w:rsidRDefault="00796486" w:rsidP="00E20AC9">
            <w:pPr>
              <w:rPr>
                <w:rFonts w:cs="Arial"/>
                <w:szCs w:val="20"/>
              </w:rPr>
            </w:pPr>
            <w:r>
              <w:rPr>
                <w:rFonts w:cs="Arial"/>
                <w:szCs w:val="20"/>
              </w:rPr>
              <w:t>Yes</w:t>
            </w:r>
          </w:p>
        </w:tc>
      </w:tr>
      <w:tr w:rsidR="00796486" w:rsidRPr="00500C4E" w14:paraId="7003892B" w14:textId="77777777" w:rsidTr="00E20AC9">
        <w:trPr>
          <w:trHeight w:val="20"/>
        </w:trPr>
        <w:tc>
          <w:tcPr>
            <w:tcW w:w="1548" w:type="pct"/>
          </w:tcPr>
          <w:p w14:paraId="27F4F104" w14:textId="77777777" w:rsidR="00796486" w:rsidRPr="00920905" w:rsidRDefault="00796486" w:rsidP="00E20AC9">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7ACEF114" w14:textId="77777777" w:rsidR="00796486" w:rsidRPr="0059495F" w:rsidRDefault="00796486" w:rsidP="00E20AC9">
            <w:pPr>
              <w:rPr>
                <w:rFonts w:cs="Arial"/>
                <w:szCs w:val="20"/>
              </w:rPr>
            </w:pPr>
            <w:r>
              <w:rPr>
                <w:rFonts w:cs="Arial"/>
                <w:szCs w:val="20"/>
              </w:rPr>
              <w:t>Yes</w:t>
            </w:r>
          </w:p>
        </w:tc>
      </w:tr>
      <w:tr w:rsidR="00796486" w:rsidRPr="00500C4E" w14:paraId="10103AC9" w14:textId="77777777" w:rsidTr="00E20AC9">
        <w:trPr>
          <w:trHeight w:val="20"/>
        </w:trPr>
        <w:tc>
          <w:tcPr>
            <w:tcW w:w="1548" w:type="pct"/>
          </w:tcPr>
          <w:p w14:paraId="52B22F08" w14:textId="77777777" w:rsidR="00796486" w:rsidRPr="00920905" w:rsidRDefault="00796486" w:rsidP="00E20AC9">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8C31BDA" w14:textId="77777777" w:rsidR="00796486" w:rsidRPr="0059495F" w:rsidRDefault="00796486" w:rsidP="00E20AC9">
            <w:pPr>
              <w:rPr>
                <w:rFonts w:cs="Arial"/>
                <w:szCs w:val="20"/>
              </w:rPr>
            </w:pPr>
            <w:r>
              <w:rPr>
                <w:rFonts w:cs="Arial"/>
                <w:szCs w:val="20"/>
              </w:rPr>
              <w:t>Yes</w:t>
            </w:r>
          </w:p>
        </w:tc>
      </w:tr>
      <w:tr w:rsidR="00796486" w:rsidRPr="00500C4E" w14:paraId="401B5372" w14:textId="77777777" w:rsidTr="00E20AC9">
        <w:trPr>
          <w:trHeight w:val="20"/>
        </w:trPr>
        <w:tc>
          <w:tcPr>
            <w:tcW w:w="1548" w:type="pct"/>
          </w:tcPr>
          <w:p w14:paraId="59ABFA86" w14:textId="77777777" w:rsidR="00796486" w:rsidRPr="00920905" w:rsidRDefault="00796486" w:rsidP="00E20AC9">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35B6C7CA" w14:textId="25D62A82" w:rsidR="00796486" w:rsidRPr="0059495F" w:rsidDel="00505CEC" w:rsidRDefault="00246501" w:rsidP="00E20AC9">
            <w:pPr>
              <w:rPr>
                <w:rFonts w:cs="Arial"/>
                <w:szCs w:val="20"/>
              </w:rPr>
            </w:pPr>
            <w:r>
              <w:rPr>
                <w:rFonts w:cs="Arial"/>
                <w:szCs w:val="20"/>
              </w:rPr>
              <w:t>y</w:t>
            </w:r>
            <w:r w:rsidR="00213B05">
              <w:rPr>
                <w:rFonts w:cs="Arial"/>
                <w:szCs w:val="20"/>
              </w:rPr>
              <w:t>es</w:t>
            </w:r>
          </w:p>
        </w:tc>
      </w:tr>
      <w:tr w:rsidR="00796486" w:rsidRPr="00500C4E" w14:paraId="500E9926" w14:textId="77777777" w:rsidTr="00E20AC9">
        <w:trPr>
          <w:trHeight w:val="20"/>
        </w:trPr>
        <w:tc>
          <w:tcPr>
            <w:tcW w:w="1548" w:type="pct"/>
          </w:tcPr>
          <w:p w14:paraId="735D05B1" w14:textId="77777777" w:rsidR="00796486" w:rsidRPr="00500C4E" w:rsidRDefault="00796486" w:rsidP="00E20AC9">
            <w:pPr>
              <w:rPr>
                <w:rFonts w:cs="Arial"/>
                <w:szCs w:val="20"/>
              </w:rPr>
            </w:pPr>
            <w:r w:rsidRPr="00500C4E">
              <w:rPr>
                <w:rFonts w:cs="Arial"/>
                <w:szCs w:val="20"/>
              </w:rPr>
              <w:t>DEER Version</w:t>
            </w:r>
          </w:p>
        </w:tc>
        <w:tc>
          <w:tcPr>
            <w:tcW w:w="3452" w:type="pct"/>
          </w:tcPr>
          <w:p w14:paraId="52B049DE" w14:textId="679522C3" w:rsidR="00796486" w:rsidRPr="0059495F" w:rsidRDefault="00796486" w:rsidP="00E20AC9">
            <w:pPr>
              <w:rPr>
                <w:rFonts w:cs="Arial"/>
                <w:szCs w:val="20"/>
              </w:rPr>
            </w:pPr>
            <w:r>
              <w:rPr>
                <w:rFonts w:cstheme="minorHAnsi"/>
                <w:szCs w:val="20"/>
              </w:rPr>
              <w:t>N/A</w:t>
            </w:r>
          </w:p>
        </w:tc>
      </w:tr>
      <w:tr w:rsidR="00796486" w:rsidRPr="00500C4E" w14:paraId="2B13D910" w14:textId="77777777" w:rsidTr="00E20AC9">
        <w:trPr>
          <w:trHeight w:val="20"/>
        </w:trPr>
        <w:tc>
          <w:tcPr>
            <w:tcW w:w="1548" w:type="pct"/>
          </w:tcPr>
          <w:p w14:paraId="5B1615ED" w14:textId="77777777" w:rsidR="00796486" w:rsidRPr="00920905" w:rsidRDefault="00796486" w:rsidP="00E20AC9">
            <w:pPr>
              <w:rPr>
                <w:rFonts w:cs="Arial"/>
                <w:szCs w:val="20"/>
              </w:rPr>
            </w:pPr>
            <w:r w:rsidRPr="00920905">
              <w:rPr>
                <w:rFonts w:cs="Arial"/>
                <w:szCs w:val="20"/>
              </w:rPr>
              <w:t>Reason for Deviation from DEER</w:t>
            </w:r>
          </w:p>
        </w:tc>
        <w:tc>
          <w:tcPr>
            <w:tcW w:w="3452" w:type="pct"/>
          </w:tcPr>
          <w:p w14:paraId="79541E1B" w14:textId="242995F2" w:rsidR="00796486" w:rsidRPr="00920905" w:rsidRDefault="004D114C" w:rsidP="00E20AC9">
            <w:pPr>
              <w:rPr>
                <w:rFonts w:cs="Arial"/>
                <w:color w:val="FF0000"/>
                <w:szCs w:val="20"/>
              </w:rPr>
            </w:pPr>
            <w:r>
              <w:rPr>
                <w:rFonts w:ascii="Calibri" w:hAnsi="Calibri" w:cs="Calibri"/>
                <w:szCs w:val="20"/>
              </w:rPr>
              <w:t>Measure not available in DEER</w:t>
            </w:r>
          </w:p>
        </w:tc>
      </w:tr>
      <w:tr w:rsidR="00796486" w:rsidRPr="00500C4E" w14:paraId="7164CDEB" w14:textId="77777777" w:rsidTr="00E20AC9">
        <w:trPr>
          <w:trHeight w:val="20"/>
        </w:trPr>
        <w:tc>
          <w:tcPr>
            <w:tcW w:w="1548" w:type="pct"/>
          </w:tcPr>
          <w:p w14:paraId="337AF9FA" w14:textId="77777777" w:rsidR="00796486" w:rsidRPr="00920905" w:rsidRDefault="00796486" w:rsidP="00E20AC9">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0FD4CA62" w14:textId="1764DF8E" w:rsidR="00796486" w:rsidRPr="00920905" w:rsidRDefault="00796486" w:rsidP="00E20AC9">
            <w:pPr>
              <w:rPr>
                <w:rFonts w:cs="Arial"/>
                <w:color w:val="FF0000"/>
                <w:szCs w:val="20"/>
              </w:rPr>
            </w:pPr>
            <w:r>
              <w:rPr>
                <w:rFonts w:ascii="Calibri" w:hAnsi="Calibri" w:cs="Calibri"/>
                <w:szCs w:val="20"/>
              </w:rPr>
              <w:t>N/A</w:t>
            </w:r>
          </w:p>
        </w:tc>
      </w:tr>
    </w:tbl>
    <w:p w14:paraId="433C92AD" w14:textId="77777777" w:rsidR="00796486" w:rsidRPr="00500C4E" w:rsidRDefault="00796486" w:rsidP="00796486">
      <w:pPr>
        <w:pStyle w:val="Caption"/>
        <w:keepNext/>
        <w:rPr>
          <w:rFonts w:cstheme="minorHAnsi"/>
          <w:b w:val="0"/>
          <w:i/>
          <w:szCs w:val="22"/>
        </w:rPr>
      </w:pPr>
    </w:p>
    <w:p w14:paraId="67FB3D1A" w14:textId="77777777" w:rsidR="00472250" w:rsidRPr="00397406"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14:paraId="2C63F433" w14:textId="028CBA76" w:rsidR="00D11D56" w:rsidRPr="00F12A99" w:rsidRDefault="003C1411" w:rsidP="00D11D56">
      <w:r w:rsidRPr="004D069A">
        <w:t>The NTG values were obtained using the DEER READI tool</w:t>
      </w:r>
      <w:r>
        <w:t xml:space="preserve"> v2.4.7</w:t>
      </w:r>
      <w:r w:rsidRPr="004D069A">
        <w:t>. The relevant NTG values for the measures in this work paper are in the table below.</w:t>
      </w:r>
    </w:p>
    <w:p w14:paraId="2BF697CF" w14:textId="53A31B96" w:rsidR="000968C6" w:rsidRPr="00397406" w:rsidRDefault="000968C6" w:rsidP="000968C6">
      <w:pPr>
        <w:pStyle w:val="Caption"/>
        <w:jc w:val="center"/>
        <w:rPr>
          <w:rFonts w:cstheme="minorHAnsi"/>
          <w:szCs w:val="22"/>
        </w:rPr>
      </w:pPr>
    </w:p>
    <w:tbl>
      <w:tblPr>
        <w:tblStyle w:val="TableContemporary"/>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3515"/>
        <w:gridCol w:w="967"/>
        <w:gridCol w:w="1164"/>
        <w:gridCol w:w="1249"/>
        <w:gridCol w:w="732"/>
      </w:tblGrid>
      <w:tr w:rsidR="00907697" w:rsidRPr="00397406" w14:paraId="653BF7C8" w14:textId="77777777" w:rsidTr="00874AAE">
        <w:trPr>
          <w:cnfStyle w:val="100000000000" w:firstRow="1" w:lastRow="0" w:firstColumn="0" w:lastColumn="0" w:oddVBand="0" w:evenVBand="0" w:oddHBand="0" w:evenHBand="0" w:firstRowFirstColumn="0" w:firstRowLastColumn="0" w:lastRowFirstColumn="0" w:lastRowLastColumn="0"/>
          <w:jc w:val="center"/>
        </w:trPr>
        <w:tc>
          <w:tcPr>
            <w:tcW w:w="812" w:type="pct"/>
          </w:tcPr>
          <w:p w14:paraId="2E2A9D44" w14:textId="77777777" w:rsidR="000968C6" w:rsidRPr="00397406" w:rsidRDefault="005729C8" w:rsidP="005729C8">
            <w:pPr>
              <w:rPr>
                <w:rFonts w:cstheme="minorHAnsi"/>
                <w:szCs w:val="20"/>
              </w:rPr>
            </w:pPr>
            <w:r w:rsidRPr="00397406">
              <w:rPr>
                <w:rFonts w:cstheme="minorHAnsi"/>
                <w:szCs w:val="20"/>
              </w:rPr>
              <w:t xml:space="preserve">NTGR </w:t>
            </w:r>
            <w:r w:rsidR="00FB2590" w:rsidRPr="00397406">
              <w:rPr>
                <w:rFonts w:cstheme="minorHAnsi"/>
                <w:szCs w:val="20"/>
              </w:rPr>
              <w:t>ID</w:t>
            </w:r>
          </w:p>
        </w:tc>
        <w:tc>
          <w:tcPr>
            <w:tcW w:w="1930" w:type="pct"/>
          </w:tcPr>
          <w:p w14:paraId="33E014F8" w14:textId="77777777" w:rsidR="000968C6" w:rsidRPr="00397406" w:rsidRDefault="00FB2590" w:rsidP="005729C8">
            <w:pPr>
              <w:rPr>
                <w:rFonts w:cstheme="minorHAnsi"/>
                <w:szCs w:val="20"/>
              </w:rPr>
            </w:pPr>
            <w:r w:rsidRPr="00397406">
              <w:rPr>
                <w:rFonts w:cstheme="minorHAnsi"/>
                <w:szCs w:val="20"/>
              </w:rPr>
              <w:t>Description</w:t>
            </w:r>
          </w:p>
        </w:tc>
        <w:tc>
          <w:tcPr>
            <w:tcW w:w="531" w:type="pct"/>
          </w:tcPr>
          <w:p w14:paraId="36912AB6" w14:textId="77777777" w:rsidR="000968C6" w:rsidRPr="00397406" w:rsidRDefault="000968C6" w:rsidP="005729C8">
            <w:pPr>
              <w:rPr>
                <w:rFonts w:cstheme="minorHAnsi"/>
                <w:szCs w:val="20"/>
              </w:rPr>
            </w:pPr>
            <w:r w:rsidRPr="00397406">
              <w:rPr>
                <w:rFonts w:cstheme="minorHAnsi"/>
                <w:szCs w:val="20"/>
              </w:rPr>
              <w:t>Sector</w:t>
            </w:r>
          </w:p>
        </w:tc>
        <w:tc>
          <w:tcPr>
            <w:tcW w:w="639" w:type="pct"/>
          </w:tcPr>
          <w:p w14:paraId="7A205FEE" w14:textId="77777777" w:rsidR="000968C6" w:rsidRPr="00397406" w:rsidRDefault="00FB2590" w:rsidP="005729C8">
            <w:pPr>
              <w:rPr>
                <w:rFonts w:cstheme="minorHAnsi"/>
                <w:szCs w:val="20"/>
              </w:rPr>
            </w:pPr>
            <w:r w:rsidRPr="00397406">
              <w:rPr>
                <w:rFonts w:cstheme="minorHAnsi"/>
                <w:szCs w:val="20"/>
              </w:rPr>
              <w:t>BldgType</w:t>
            </w:r>
          </w:p>
        </w:tc>
        <w:tc>
          <w:tcPr>
            <w:tcW w:w="686" w:type="pct"/>
          </w:tcPr>
          <w:p w14:paraId="470D292B" w14:textId="77777777" w:rsidR="000968C6" w:rsidRPr="00397406" w:rsidRDefault="000968C6" w:rsidP="005729C8">
            <w:pPr>
              <w:rPr>
                <w:rFonts w:cstheme="minorHAnsi"/>
                <w:szCs w:val="20"/>
              </w:rPr>
            </w:pPr>
            <w:r w:rsidRPr="00397406">
              <w:rPr>
                <w:rFonts w:cstheme="minorHAnsi"/>
                <w:szCs w:val="20"/>
              </w:rPr>
              <w:t>ProgDelivID</w:t>
            </w:r>
          </w:p>
        </w:tc>
        <w:tc>
          <w:tcPr>
            <w:tcW w:w="402" w:type="pct"/>
          </w:tcPr>
          <w:p w14:paraId="5EF12C43" w14:textId="77777777" w:rsidR="000968C6" w:rsidRPr="00397406" w:rsidRDefault="00FB2590" w:rsidP="005729C8">
            <w:pPr>
              <w:rPr>
                <w:rFonts w:cstheme="minorHAnsi"/>
                <w:szCs w:val="20"/>
              </w:rPr>
            </w:pPr>
            <w:r w:rsidRPr="00397406">
              <w:rPr>
                <w:rFonts w:cstheme="minorHAnsi"/>
                <w:szCs w:val="20"/>
              </w:rPr>
              <w:t>NTG</w:t>
            </w:r>
          </w:p>
        </w:tc>
      </w:tr>
      <w:tr w:rsidR="00D11D56" w:rsidRPr="00397406" w14:paraId="7638B874" w14:textId="77777777" w:rsidTr="00874AAE">
        <w:trPr>
          <w:cnfStyle w:val="000000100000" w:firstRow="0" w:lastRow="0" w:firstColumn="0" w:lastColumn="0" w:oddVBand="0" w:evenVBand="0" w:oddHBand="1" w:evenHBand="0" w:firstRowFirstColumn="0" w:firstRowLastColumn="0" w:lastRowFirstColumn="0" w:lastRowLastColumn="0"/>
          <w:jc w:val="center"/>
        </w:trPr>
        <w:tc>
          <w:tcPr>
            <w:tcW w:w="812" w:type="pct"/>
            <w:shd w:val="clear" w:color="auto" w:fill="auto"/>
            <w:vAlign w:val="center"/>
          </w:tcPr>
          <w:p w14:paraId="086CBD90" w14:textId="77777777" w:rsidR="00D11D56" w:rsidRPr="00CA6CD8" w:rsidRDefault="00D11D56" w:rsidP="007221C8">
            <w:pPr>
              <w:jc w:val="center"/>
            </w:pPr>
            <w:r w:rsidRPr="00C82DED">
              <w:rPr>
                <w:szCs w:val="20"/>
              </w:rPr>
              <w:t>Com-Default&gt;2yrs</w:t>
            </w:r>
          </w:p>
        </w:tc>
        <w:tc>
          <w:tcPr>
            <w:tcW w:w="1930" w:type="pct"/>
            <w:shd w:val="clear" w:color="auto" w:fill="auto"/>
            <w:vAlign w:val="center"/>
          </w:tcPr>
          <w:p w14:paraId="4EB1052B" w14:textId="77777777" w:rsidR="00D11D56" w:rsidRPr="00CA6CD8" w:rsidRDefault="00D11D56" w:rsidP="007221C8">
            <w:pPr>
              <w:jc w:val="center"/>
            </w:pPr>
            <w:r w:rsidRPr="004741F5">
              <w:rPr>
                <w:szCs w:val="20"/>
              </w:rPr>
              <w:t>All other EEMs with no evaluated NTGR; existing EEM in programs with same delivery mechanism for more than 2 years</w:t>
            </w:r>
            <w:r>
              <w:rPr>
                <w:szCs w:val="20"/>
              </w:rPr>
              <w:t>; Customer Rebate</w:t>
            </w:r>
          </w:p>
        </w:tc>
        <w:tc>
          <w:tcPr>
            <w:tcW w:w="531" w:type="pct"/>
            <w:shd w:val="clear" w:color="auto" w:fill="auto"/>
            <w:vAlign w:val="center"/>
          </w:tcPr>
          <w:p w14:paraId="782023E0" w14:textId="77777777" w:rsidR="00D11D56" w:rsidRPr="00CA6CD8" w:rsidRDefault="00D11D56" w:rsidP="007221C8">
            <w:pPr>
              <w:jc w:val="center"/>
            </w:pPr>
            <w:r>
              <w:rPr>
                <w:szCs w:val="20"/>
              </w:rPr>
              <w:t>Com</w:t>
            </w:r>
          </w:p>
        </w:tc>
        <w:tc>
          <w:tcPr>
            <w:tcW w:w="639" w:type="pct"/>
            <w:shd w:val="clear" w:color="auto" w:fill="auto"/>
            <w:vAlign w:val="center"/>
          </w:tcPr>
          <w:p w14:paraId="040D3FBD" w14:textId="77777777" w:rsidR="00D11D56" w:rsidRPr="00CA6CD8" w:rsidRDefault="00D11D56" w:rsidP="007221C8">
            <w:pPr>
              <w:jc w:val="center"/>
            </w:pPr>
            <w:r>
              <w:rPr>
                <w:szCs w:val="20"/>
              </w:rPr>
              <w:t>Any</w:t>
            </w:r>
          </w:p>
        </w:tc>
        <w:tc>
          <w:tcPr>
            <w:tcW w:w="686" w:type="pct"/>
            <w:shd w:val="clear" w:color="auto" w:fill="auto"/>
            <w:vAlign w:val="center"/>
          </w:tcPr>
          <w:p w14:paraId="0B52F6C7" w14:textId="77777777" w:rsidR="00D11D56" w:rsidRPr="00CA6CD8" w:rsidRDefault="00D11D56" w:rsidP="007221C8">
            <w:pPr>
              <w:jc w:val="center"/>
            </w:pPr>
            <w:r>
              <w:rPr>
                <w:szCs w:val="20"/>
              </w:rPr>
              <w:t>Any</w:t>
            </w:r>
          </w:p>
        </w:tc>
        <w:tc>
          <w:tcPr>
            <w:tcW w:w="402" w:type="pct"/>
            <w:shd w:val="clear" w:color="auto" w:fill="auto"/>
            <w:vAlign w:val="center"/>
          </w:tcPr>
          <w:p w14:paraId="08D1DDDA" w14:textId="22979F1F" w:rsidR="00D11D56" w:rsidRPr="00CA6CD8" w:rsidRDefault="00D11D56" w:rsidP="007221C8">
            <w:pPr>
              <w:jc w:val="center"/>
            </w:pPr>
            <w:r>
              <w:rPr>
                <w:szCs w:val="20"/>
              </w:rPr>
              <w:t>0.6</w:t>
            </w:r>
            <w:r w:rsidR="00246501">
              <w:rPr>
                <w:szCs w:val="20"/>
              </w:rPr>
              <w:t>0</w:t>
            </w:r>
          </w:p>
        </w:tc>
      </w:tr>
    </w:tbl>
    <w:p w14:paraId="6F0AD694" w14:textId="77777777" w:rsidR="00D11D56" w:rsidRDefault="00D11D56" w:rsidP="000968C6">
      <w:pPr>
        <w:pStyle w:val="Reminders"/>
        <w:rPr>
          <w:rFonts w:asciiTheme="minorHAnsi" w:hAnsiTheme="minorHAnsi" w:cstheme="minorHAnsi"/>
          <w:i w:val="0"/>
          <w:color w:val="auto"/>
          <w:szCs w:val="22"/>
        </w:rPr>
      </w:pPr>
    </w:p>
    <w:p w14:paraId="44DE60BB" w14:textId="77777777" w:rsidR="003C1411" w:rsidRPr="00500C4E" w:rsidRDefault="003C1411" w:rsidP="003C1411">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2231B85B" w14:textId="77777777" w:rsidR="003C1411" w:rsidRPr="00500C4E" w:rsidRDefault="003C1411" w:rsidP="003C1411">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1BF847E0" w14:textId="77777777" w:rsidR="00547528" w:rsidRPr="00397406" w:rsidRDefault="00547528" w:rsidP="000968C6">
      <w:pPr>
        <w:pStyle w:val="Reminders"/>
        <w:rPr>
          <w:rFonts w:asciiTheme="minorHAnsi" w:hAnsiTheme="minorHAnsi" w:cstheme="minorHAnsi"/>
          <w:i w:val="0"/>
          <w:color w:val="auto"/>
          <w:szCs w:val="22"/>
        </w:rPr>
      </w:pPr>
    </w:p>
    <w:p w14:paraId="0DD6CF33" w14:textId="77777777"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14:paraId="14232344" w14:textId="164EEB92" w:rsidR="003C1411" w:rsidRDefault="003C1411" w:rsidP="003C1411">
      <w:pPr>
        <w:pStyle w:val="NoSpacing"/>
      </w:pPr>
      <w:r w:rsidRPr="00920905">
        <w:t>The IR values were obtained using the DEER READI tool</w:t>
      </w:r>
      <w:r w:rsidR="00D215DB">
        <w:t xml:space="preserve"> v2.4.7</w:t>
      </w:r>
      <w:r w:rsidRPr="00920905">
        <w:t>. The relevant IR values for the measures in this work paper are in the table below.</w:t>
      </w:r>
    </w:p>
    <w:p w14:paraId="5F54B46C" w14:textId="77777777" w:rsidR="003C1411" w:rsidRDefault="003C1411" w:rsidP="003C1411">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3C1411" w:rsidRPr="0087393E" w14:paraId="47022CF5" w14:textId="77777777" w:rsidTr="00E20AC9">
        <w:tc>
          <w:tcPr>
            <w:tcW w:w="722" w:type="pct"/>
            <w:shd w:val="clear" w:color="auto" w:fill="D9D9D9" w:themeFill="background1" w:themeFillShade="D9"/>
          </w:tcPr>
          <w:p w14:paraId="75C11C42" w14:textId="77777777" w:rsidR="003C1411" w:rsidRPr="00920905" w:rsidRDefault="003C1411" w:rsidP="00E20AC9">
            <w:pPr>
              <w:rPr>
                <w:rFonts w:cstheme="minorHAnsi"/>
                <w:b/>
                <w:szCs w:val="20"/>
              </w:rPr>
            </w:pPr>
            <w:r w:rsidRPr="00920905">
              <w:rPr>
                <w:rFonts w:cstheme="minorHAnsi"/>
                <w:b/>
                <w:szCs w:val="20"/>
              </w:rPr>
              <w:t>GSIA ID</w:t>
            </w:r>
          </w:p>
        </w:tc>
        <w:tc>
          <w:tcPr>
            <w:tcW w:w="1404" w:type="pct"/>
            <w:shd w:val="clear" w:color="auto" w:fill="D9D9D9" w:themeFill="background1" w:themeFillShade="D9"/>
          </w:tcPr>
          <w:p w14:paraId="0C65F68F" w14:textId="77777777" w:rsidR="003C1411" w:rsidRPr="00920905" w:rsidRDefault="003C1411" w:rsidP="00E20AC9">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EB072B0" w14:textId="77777777" w:rsidR="003C1411" w:rsidRPr="00920905" w:rsidRDefault="003C1411" w:rsidP="00E20AC9">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122CA042" w14:textId="77777777" w:rsidR="003C1411" w:rsidRPr="00920905" w:rsidRDefault="003C1411" w:rsidP="00E20AC9">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550CC10B" w14:textId="77777777" w:rsidR="003C1411" w:rsidRPr="00920905" w:rsidRDefault="003C1411" w:rsidP="00E20AC9">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65569E42" w14:textId="77777777" w:rsidR="003C1411" w:rsidRPr="00920905" w:rsidRDefault="003C1411" w:rsidP="00E20AC9">
            <w:pPr>
              <w:rPr>
                <w:rFonts w:cstheme="minorHAnsi"/>
                <w:b/>
                <w:szCs w:val="20"/>
              </w:rPr>
            </w:pPr>
            <w:r w:rsidRPr="00920905">
              <w:rPr>
                <w:rFonts w:cstheme="minorHAnsi"/>
                <w:b/>
                <w:szCs w:val="20"/>
              </w:rPr>
              <w:t>GSIAValue</w:t>
            </w:r>
          </w:p>
        </w:tc>
      </w:tr>
      <w:tr w:rsidR="003C1411" w:rsidRPr="00500C4E" w14:paraId="7D23052A" w14:textId="77777777" w:rsidTr="00E20AC9">
        <w:tc>
          <w:tcPr>
            <w:tcW w:w="722" w:type="pct"/>
          </w:tcPr>
          <w:p w14:paraId="39838AD2" w14:textId="77777777" w:rsidR="003C1411" w:rsidRPr="0059495F" w:rsidRDefault="003C1411" w:rsidP="00E20AC9">
            <w:pPr>
              <w:rPr>
                <w:szCs w:val="20"/>
              </w:rPr>
            </w:pPr>
            <w:r w:rsidRPr="0059495F">
              <w:rPr>
                <w:szCs w:val="20"/>
              </w:rPr>
              <w:t>Def-GSIA</w:t>
            </w:r>
          </w:p>
        </w:tc>
        <w:tc>
          <w:tcPr>
            <w:tcW w:w="1404" w:type="pct"/>
          </w:tcPr>
          <w:p w14:paraId="06716FA3" w14:textId="77777777" w:rsidR="003C1411" w:rsidRPr="0059495F" w:rsidRDefault="003C1411" w:rsidP="00E20AC9">
            <w:pPr>
              <w:rPr>
                <w:szCs w:val="20"/>
              </w:rPr>
            </w:pPr>
            <w:r w:rsidRPr="0059495F">
              <w:rPr>
                <w:szCs w:val="20"/>
              </w:rPr>
              <w:t>Default GSIA values</w:t>
            </w:r>
          </w:p>
        </w:tc>
        <w:tc>
          <w:tcPr>
            <w:tcW w:w="688" w:type="pct"/>
          </w:tcPr>
          <w:p w14:paraId="48D46F6B" w14:textId="77777777" w:rsidR="003C1411" w:rsidRPr="0059495F" w:rsidRDefault="003C1411" w:rsidP="00E20AC9">
            <w:pPr>
              <w:rPr>
                <w:szCs w:val="20"/>
              </w:rPr>
            </w:pPr>
            <w:r w:rsidRPr="0059495F">
              <w:rPr>
                <w:szCs w:val="20"/>
              </w:rPr>
              <w:t>Any</w:t>
            </w:r>
          </w:p>
        </w:tc>
        <w:tc>
          <w:tcPr>
            <w:tcW w:w="858" w:type="pct"/>
          </w:tcPr>
          <w:p w14:paraId="18C34659" w14:textId="77777777" w:rsidR="003C1411" w:rsidRPr="0059495F" w:rsidRDefault="003C1411" w:rsidP="00E20AC9">
            <w:pPr>
              <w:rPr>
                <w:szCs w:val="20"/>
              </w:rPr>
            </w:pPr>
            <w:r w:rsidRPr="0059495F">
              <w:rPr>
                <w:szCs w:val="20"/>
              </w:rPr>
              <w:t>Any</w:t>
            </w:r>
          </w:p>
        </w:tc>
        <w:tc>
          <w:tcPr>
            <w:tcW w:w="693" w:type="pct"/>
          </w:tcPr>
          <w:p w14:paraId="166E7C15" w14:textId="77777777" w:rsidR="003C1411" w:rsidRPr="0059495F" w:rsidRDefault="003C1411" w:rsidP="00E20AC9">
            <w:pPr>
              <w:rPr>
                <w:szCs w:val="20"/>
              </w:rPr>
            </w:pPr>
            <w:r w:rsidRPr="0059495F">
              <w:rPr>
                <w:szCs w:val="20"/>
              </w:rPr>
              <w:t>Any</w:t>
            </w:r>
          </w:p>
        </w:tc>
        <w:tc>
          <w:tcPr>
            <w:tcW w:w="634" w:type="pct"/>
          </w:tcPr>
          <w:p w14:paraId="279AEA80" w14:textId="77777777" w:rsidR="003C1411" w:rsidRPr="0059495F" w:rsidRDefault="003C1411" w:rsidP="00E20AC9">
            <w:pPr>
              <w:rPr>
                <w:szCs w:val="20"/>
              </w:rPr>
            </w:pPr>
            <w:r w:rsidRPr="0059495F">
              <w:rPr>
                <w:szCs w:val="20"/>
              </w:rPr>
              <w:t>1</w:t>
            </w:r>
          </w:p>
        </w:tc>
      </w:tr>
    </w:tbl>
    <w:p w14:paraId="4F9A83DA" w14:textId="77777777" w:rsidR="003C1411" w:rsidRDefault="003C1411" w:rsidP="003C1411">
      <w:pPr>
        <w:pStyle w:val="NoSpacing"/>
      </w:pPr>
    </w:p>
    <w:p w14:paraId="53934CFC" w14:textId="77777777"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14:paraId="065605C5" w14:textId="77777777" w:rsidR="00626BB9" w:rsidRDefault="00246501" w:rsidP="00D11D56">
      <w:r w:rsidRPr="00246501">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p w14:paraId="148EF11D" w14:textId="77777777" w:rsidR="00D11D56" w:rsidRPr="008D0D4C" w:rsidRDefault="00D11D56" w:rsidP="00D11D56"/>
    <w:p w14:paraId="4AC49BB5" w14:textId="05F018DC" w:rsidR="00D11D56" w:rsidRPr="00F12A99" w:rsidRDefault="00D11D56" w:rsidP="00D11D56">
      <w:pPr>
        <w:rPr>
          <w:i/>
        </w:rPr>
      </w:pPr>
      <w:r w:rsidRPr="006E2889">
        <w:lastRenderedPageBreak/>
        <w:t xml:space="preserve">However, </w:t>
      </w:r>
      <w:r w:rsidR="00645587">
        <w:t>the EUL</w:t>
      </w:r>
      <w:r w:rsidRPr="006E2889">
        <w:t xml:space="preserve"> does not apply to fan v-belt life. A v-belt has a life based on fan run hours which varies by building type based primarily on occupancy schedule because the fans have to run continuously during all occupied hours</w:t>
      </w:r>
      <w:r w:rsidRPr="008D0D4C">
        <w:t xml:space="preserve">. </w:t>
      </w:r>
      <w:r w:rsidRPr="007A132F">
        <w:t>The supply and return fans will</w:t>
      </w:r>
      <w:r w:rsidRPr="00F12A99">
        <w:t xml:space="preserve"> also run a few hours during unoccupied hours for heating and cooling as needed.</w:t>
      </w:r>
      <w:r>
        <w:t xml:space="preserve"> </w:t>
      </w:r>
      <w:r w:rsidRPr="00F12A99">
        <w:t>Unoccupied fan hours for cooling are essentially zero in southern California due to thermostat set up and the major reduction in internal cooling loads (appliances off, lighting reduced to emergency only, and no people).</w:t>
      </w:r>
      <w:r>
        <w:t xml:space="preserve"> </w:t>
      </w:r>
      <w:r w:rsidRPr="00F12A99">
        <w:t>In spite of thermostat setbacks, unoccupied fan hours for heating can be significant in cold climates since internal heat gains are small.</w:t>
      </w:r>
      <w:r>
        <w:t xml:space="preserve"> </w:t>
      </w:r>
      <w:r w:rsidRPr="00F12A99">
        <w:t>In most SCE climate zones the majority of non-residential buildings have a low heating requirement.</w:t>
      </w:r>
      <w:r>
        <w:t xml:space="preserve"> </w:t>
      </w:r>
      <w:r w:rsidRPr="00F12A99">
        <w:t>Therefore, the fan belt life can be based on the occupancy schedule.</w:t>
      </w:r>
    </w:p>
    <w:p w14:paraId="7396551A" w14:textId="77777777" w:rsidR="00D11D56" w:rsidRPr="00683518" w:rsidRDefault="00D11D56" w:rsidP="00D11D56">
      <w:pPr>
        <w:rPr>
          <w:szCs w:val="22"/>
        </w:rPr>
      </w:pPr>
    </w:p>
    <w:p w14:paraId="694BCB4A" w14:textId="77777777" w:rsidR="00D11D56" w:rsidRPr="00683518" w:rsidRDefault="00D11D56" w:rsidP="00D11D56">
      <w:pPr>
        <w:ind w:firstLine="720"/>
        <w:rPr>
          <w:i/>
          <w:szCs w:val="22"/>
        </w:rPr>
      </w:pPr>
      <w:r w:rsidRPr="00683518">
        <w:rPr>
          <w:i/>
          <w:szCs w:val="22"/>
        </w:rPr>
        <w:t xml:space="preserve">Equation 1 </w:t>
      </w:r>
      <w:r w:rsidRPr="00683518">
        <w:rPr>
          <w:i/>
          <w:szCs w:val="22"/>
        </w:rPr>
        <w:tab/>
        <w:t>EUL = Belt Life / Occupancy Hours per year</w:t>
      </w:r>
    </w:p>
    <w:p w14:paraId="1BC2D809" w14:textId="77777777" w:rsidR="00D11D56" w:rsidRPr="00683518" w:rsidRDefault="00D11D56" w:rsidP="00D11D56">
      <w:pPr>
        <w:ind w:firstLine="720"/>
        <w:rPr>
          <w:i/>
          <w:szCs w:val="22"/>
        </w:rPr>
      </w:pPr>
    </w:p>
    <w:p w14:paraId="1CE6984E" w14:textId="77777777" w:rsidR="00D11D56" w:rsidRPr="00683518" w:rsidRDefault="00D11D56" w:rsidP="00D11D56">
      <w:pPr>
        <w:ind w:firstLine="720"/>
        <w:rPr>
          <w:i/>
          <w:szCs w:val="22"/>
        </w:rPr>
      </w:pPr>
      <w:r w:rsidRPr="00683518">
        <w:rPr>
          <w:i/>
          <w:szCs w:val="22"/>
        </w:rPr>
        <w:t>Where:</w:t>
      </w:r>
    </w:p>
    <w:p w14:paraId="556DA34E" w14:textId="77777777" w:rsidR="00D11D56" w:rsidRPr="00683518" w:rsidRDefault="00D11D56" w:rsidP="00D11D56">
      <w:pPr>
        <w:ind w:firstLine="720"/>
        <w:rPr>
          <w:i/>
          <w:szCs w:val="22"/>
        </w:rPr>
      </w:pPr>
      <w:r w:rsidRPr="00683518">
        <w:rPr>
          <w:i/>
          <w:szCs w:val="22"/>
        </w:rPr>
        <w:tab/>
        <w:t>Belt Life is 24,000 hours [A]</w:t>
      </w:r>
    </w:p>
    <w:p w14:paraId="6A1EBF4D" w14:textId="13F44CE1" w:rsidR="00D11D56" w:rsidRPr="00683518" w:rsidRDefault="00D11D56" w:rsidP="00D11D56">
      <w:pPr>
        <w:ind w:firstLine="1440"/>
        <w:rPr>
          <w:i/>
          <w:szCs w:val="22"/>
        </w:rPr>
      </w:pPr>
      <w:r w:rsidRPr="00683518">
        <w:rPr>
          <w:i/>
          <w:szCs w:val="22"/>
        </w:rPr>
        <w:t xml:space="preserve">Occupancy Hours per year </w:t>
      </w:r>
      <w:r w:rsidRPr="00872E21">
        <w:rPr>
          <w:i/>
          <w:szCs w:val="22"/>
        </w:rPr>
        <w:t xml:space="preserve">from </w:t>
      </w:r>
      <w:r w:rsidR="00781CEB">
        <w:rPr>
          <w:i/>
          <w:szCs w:val="22"/>
        </w:rPr>
        <w:t xml:space="preserve">table </w:t>
      </w:r>
      <w:r w:rsidRPr="00872E21">
        <w:rPr>
          <w:i/>
          <w:szCs w:val="22"/>
        </w:rPr>
        <w:t>below</w:t>
      </w:r>
      <w:r w:rsidRPr="00683518">
        <w:rPr>
          <w:i/>
          <w:szCs w:val="22"/>
        </w:rPr>
        <w:t xml:space="preserve">. </w:t>
      </w:r>
    </w:p>
    <w:p w14:paraId="389DD041" w14:textId="77777777" w:rsidR="00D11D56" w:rsidRPr="00683518" w:rsidRDefault="00D11D56" w:rsidP="00D11D56">
      <w:pPr>
        <w:ind w:firstLine="1440"/>
        <w:rPr>
          <w:i/>
          <w:szCs w:val="22"/>
        </w:rPr>
      </w:pPr>
    </w:p>
    <w:p w14:paraId="2C6E0297" w14:textId="5732D111" w:rsidR="00D215DB" w:rsidRDefault="00D11D56" w:rsidP="006E2889">
      <w:pPr>
        <w:pStyle w:val="Reminders"/>
        <w:rPr>
          <w:rFonts w:asciiTheme="minorHAnsi" w:hAnsiTheme="minorHAnsi"/>
          <w:i w:val="0"/>
          <w:color w:val="auto"/>
        </w:rPr>
      </w:pPr>
      <w:r w:rsidRPr="00CF4850">
        <w:rPr>
          <w:rFonts w:asciiTheme="minorHAnsi" w:hAnsiTheme="minorHAnsi"/>
          <w:i w:val="0"/>
          <w:color w:val="auto"/>
        </w:rPr>
        <w:t xml:space="preserve">The EUL for the measure is 24,000 hours divided by the annual hours </w:t>
      </w:r>
      <w:r w:rsidRPr="005D7E37">
        <w:rPr>
          <w:rFonts w:asciiTheme="minorHAnsi" w:hAnsiTheme="minorHAnsi"/>
          <w:i w:val="0"/>
          <w:color w:val="auto"/>
        </w:rPr>
        <w:t>from the eQUEST run report “SS-L Fan Energy/Hours”.</w:t>
      </w:r>
      <w:r w:rsidR="006E2889" w:rsidRPr="005D7E37">
        <w:rPr>
          <w:rFonts w:asciiTheme="minorHAnsi" w:hAnsiTheme="minorHAnsi"/>
          <w:i w:val="0"/>
          <w:color w:val="auto"/>
        </w:rPr>
        <w:t xml:space="preserve"> </w:t>
      </w:r>
      <w:r w:rsidRPr="00874AAE">
        <w:rPr>
          <w:rFonts w:asciiTheme="minorHAnsi" w:hAnsiTheme="minorHAnsi"/>
          <w:i w:val="0"/>
          <w:color w:val="auto"/>
        </w:rPr>
        <w:t xml:space="preserve">This analysis was applied to </w:t>
      </w:r>
      <w:r w:rsidR="00487825" w:rsidRPr="00874AAE">
        <w:rPr>
          <w:rFonts w:asciiTheme="minorHAnsi" w:hAnsiTheme="minorHAnsi"/>
          <w:i w:val="0"/>
          <w:color w:val="auto"/>
        </w:rPr>
        <w:t>2</w:t>
      </w:r>
      <w:r w:rsidR="00A50D3F">
        <w:rPr>
          <w:rFonts w:asciiTheme="minorHAnsi" w:hAnsiTheme="minorHAnsi"/>
          <w:i w:val="0"/>
          <w:color w:val="auto"/>
        </w:rPr>
        <w:t>1</w:t>
      </w:r>
      <w:r w:rsidR="00487825" w:rsidRPr="00874AAE">
        <w:rPr>
          <w:rFonts w:asciiTheme="minorHAnsi" w:hAnsiTheme="minorHAnsi"/>
          <w:i w:val="0"/>
          <w:color w:val="auto"/>
        </w:rPr>
        <w:t xml:space="preserve"> </w:t>
      </w:r>
      <w:r w:rsidRPr="00874AAE">
        <w:rPr>
          <w:rFonts w:asciiTheme="minorHAnsi" w:hAnsiTheme="minorHAnsi"/>
          <w:i w:val="0"/>
          <w:color w:val="auto"/>
        </w:rPr>
        <w:t xml:space="preserve">DEER Building Prototypes as listed in </w:t>
      </w:r>
      <w:r w:rsidR="00781CEB">
        <w:rPr>
          <w:rFonts w:asciiTheme="minorHAnsi" w:hAnsiTheme="minorHAnsi"/>
          <w:i w:val="0"/>
          <w:color w:val="auto"/>
        </w:rPr>
        <w:t>table</w:t>
      </w:r>
      <w:r w:rsidRPr="00874AAE">
        <w:rPr>
          <w:rFonts w:asciiTheme="minorHAnsi" w:hAnsiTheme="minorHAnsi"/>
          <w:i w:val="0"/>
          <w:color w:val="auto"/>
        </w:rPr>
        <w:t xml:space="preserve"> below. The eight building types marked by an asterisk (*) are the large buildings and they have central supply air systems usually with variable volume. DEER2014 EUL ID values based on the previous revision of this work paper are also included in the table below. The previous revision had fewer building types, and therefore the DEER2014 EUL ID</w:t>
      </w:r>
      <w:r w:rsidR="00874AAE">
        <w:rPr>
          <w:rFonts w:asciiTheme="minorHAnsi" w:hAnsiTheme="minorHAnsi"/>
          <w:i w:val="0"/>
          <w:color w:val="auto"/>
        </w:rPr>
        <w:t>s</w:t>
      </w:r>
      <w:r w:rsidRPr="00874AAE">
        <w:rPr>
          <w:rFonts w:asciiTheme="minorHAnsi" w:hAnsiTheme="minorHAnsi"/>
          <w:i w:val="0"/>
          <w:color w:val="auto"/>
        </w:rPr>
        <w:t xml:space="preserve"> are not available for the additional building types. </w:t>
      </w:r>
    </w:p>
    <w:p w14:paraId="5173B42F" w14:textId="77777777" w:rsidR="00D215DB" w:rsidRDefault="00D215DB" w:rsidP="006E2889">
      <w:pPr>
        <w:pStyle w:val="Reminders"/>
        <w:rPr>
          <w:rFonts w:asciiTheme="minorHAnsi" w:hAnsiTheme="minorHAnsi"/>
          <w:i w:val="0"/>
          <w:color w:val="auto"/>
        </w:rPr>
      </w:pPr>
    </w:p>
    <w:tbl>
      <w:tblPr>
        <w:tblStyle w:val="TableGrid1"/>
        <w:tblW w:w="3523" w:type="pct"/>
        <w:jc w:val="center"/>
        <w:tblLayout w:type="fixed"/>
        <w:tblLook w:val="04A0" w:firstRow="1" w:lastRow="0" w:firstColumn="1" w:lastColumn="0" w:noHBand="0" w:noVBand="1"/>
      </w:tblPr>
      <w:tblGrid>
        <w:gridCol w:w="1342"/>
        <w:gridCol w:w="1399"/>
        <w:gridCol w:w="758"/>
        <w:gridCol w:w="758"/>
        <w:gridCol w:w="1165"/>
        <w:gridCol w:w="1166"/>
      </w:tblGrid>
      <w:tr w:rsidR="00AA5A92" w14:paraId="12B73FC1" w14:textId="243A70D0" w:rsidTr="00B27FB7">
        <w:trPr>
          <w:jc w:val="center"/>
        </w:trPr>
        <w:tc>
          <w:tcPr>
            <w:tcW w:w="10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B25FD0" w14:textId="77777777" w:rsidR="00AA5A92" w:rsidRDefault="00AA5A92" w:rsidP="00C74D45">
            <w:pPr>
              <w:jc w:val="center"/>
              <w:rPr>
                <w:rFonts w:cstheme="minorHAnsi"/>
                <w:b/>
                <w:szCs w:val="20"/>
              </w:rPr>
            </w:pPr>
            <w:r>
              <w:rPr>
                <w:rFonts w:cstheme="minorHAnsi"/>
                <w:b/>
                <w:szCs w:val="20"/>
              </w:rPr>
              <w:t>EUL ID</w:t>
            </w:r>
          </w:p>
        </w:tc>
        <w:tc>
          <w:tcPr>
            <w:tcW w:w="106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F03572" w14:textId="0D0881C5" w:rsidR="00AA5A92" w:rsidRDefault="00AA5A92" w:rsidP="00C74D45">
            <w:pPr>
              <w:jc w:val="center"/>
              <w:rPr>
                <w:rFonts w:cstheme="minorHAnsi"/>
                <w:b/>
                <w:szCs w:val="20"/>
              </w:rPr>
            </w:pPr>
            <w:r>
              <w:rPr>
                <w:rFonts w:cstheme="minorHAnsi"/>
                <w:b/>
                <w:szCs w:val="20"/>
              </w:rPr>
              <w:t>Building Type</w:t>
            </w:r>
          </w:p>
        </w:tc>
        <w:tc>
          <w:tcPr>
            <w:tcW w:w="5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3E5ADA" w14:textId="5B68FE4A" w:rsidR="00AA5A92" w:rsidRDefault="00AA5A92" w:rsidP="00C74D45">
            <w:pPr>
              <w:jc w:val="center"/>
              <w:rPr>
                <w:rFonts w:cstheme="minorHAnsi"/>
                <w:b/>
                <w:szCs w:val="20"/>
              </w:rPr>
            </w:pPr>
            <w:r>
              <w:rPr>
                <w:rFonts w:cstheme="minorHAnsi"/>
                <w:b/>
                <w:szCs w:val="20"/>
              </w:rPr>
              <w:t>EUL (Years)</w:t>
            </w:r>
          </w:p>
        </w:tc>
        <w:tc>
          <w:tcPr>
            <w:tcW w:w="5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30158B" w14:textId="77777777" w:rsidR="00AA5A92" w:rsidRDefault="00AA5A92" w:rsidP="00C74D45">
            <w:pPr>
              <w:jc w:val="center"/>
              <w:rPr>
                <w:rFonts w:cstheme="minorHAnsi"/>
                <w:b/>
                <w:szCs w:val="20"/>
              </w:rPr>
            </w:pPr>
            <w:r>
              <w:rPr>
                <w:rFonts w:cstheme="minorHAnsi"/>
                <w:b/>
                <w:szCs w:val="20"/>
              </w:rPr>
              <w:t>RUL (Years)</w:t>
            </w:r>
          </w:p>
        </w:tc>
        <w:tc>
          <w:tcPr>
            <w:tcW w:w="88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6CBDED" w14:textId="7439DC19" w:rsidR="00AA5A92" w:rsidRDefault="00AA5A92">
            <w:pPr>
              <w:jc w:val="center"/>
              <w:rPr>
                <w:rFonts w:cstheme="minorHAnsi"/>
                <w:b/>
                <w:szCs w:val="20"/>
              </w:rPr>
            </w:pPr>
            <w:r w:rsidRPr="00683518">
              <w:rPr>
                <w:b/>
                <w:bCs/>
                <w:szCs w:val="20"/>
              </w:rPr>
              <w:t>Occupancy Hours</w:t>
            </w:r>
            <w:r>
              <w:rPr>
                <w:b/>
                <w:bCs/>
                <w:szCs w:val="20"/>
              </w:rPr>
              <w:t xml:space="preserve"> per Year</w:t>
            </w:r>
            <w:r w:rsidRPr="00683518">
              <w:rPr>
                <w:b/>
                <w:bCs/>
                <w:szCs w:val="20"/>
              </w:rPr>
              <w:t>**</w:t>
            </w:r>
          </w:p>
        </w:tc>
        <w:tc>
          <w:tcPr>
            <w:tcW w:w="88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D2CA98" w14:textId="7BE9BFB7" w:rsidR="00AA5A92" w:rsidRDefault="00AA5A92">
            <w:pPr>
              <w:jc w:val="center"/>
              <w:rPr>
                <w:rFonts w:cstheme="minorHAnsi"/>
                <w:b/>
                <w:szCs w:val="20"/>
              </w:rPr>
            </w:pPr>
            <w:r>
              <w:rPr>
                <w:rFonts w:cstheme="minorHAnsi"/>
                <w:b/>
                <w:szCs w:val="20"/>
              </w:rPr>
              <w:t>EUL</w:t>
            </w:r>
          </w:p>
          <w:p w14:paraId="71069432" w14:textId="2C6932AD" w:rsidR="00AA5A92" w:rsidRDefault="00AA5A92">
            <w:pPr>
              <w:jc w:val="center"/>
              <w:rPr>
                <w:rFonts w:cstheme="minorHAnsi"/>
                <w:b/>
                <w:szCs w:val="20"/>
              </w:rPr>
            </w:pPr>
            <w:r>
              <w:rPr>
                <w:rFonts w:cstheme="minorHAnsi"/>
                <w:b/>
                <w:szCs w:val="20"/>
              </w:rPr>
              <w:t>Source</w:t>
            </w:r>
          </w:p>
        </w:tc>
      </w:tr>
      <w:tr w:rsidR="00AA5A92" w:rsidRPr="006D66FD" w14:paraId="68BE7932" w14:textId="24703F69"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hideMark/>
          </w:tcPr>
          <w:p w14:paraId="1B1582D1" w14:textId="6CB30F92" w:rsidR="00AA5A92" w:rsidRPr="00C74D45" w:rsidRDefault="00AA5A92" w:rsidP="00C74D45">
            <w:pPr>
              <w:jc w:val="center"/>
              <w:rPr>
                <w:szCs w:val="20"/>
              </w:rPr>
            </w:pPr>
            <w:r w:rsidRPr="006D66FD">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563010FC" w14:textId="7DF84300" w:rsidR="00AA5A92" w:rsidRPr="006D66FD" w:rsidRDefault="00AA5A92" w:rsidP="00C74D45">
            <w:pPr>
              <w:jc w:val="center"/>
              <w:rPr>
                <w:szCs w:val="20"/>
              </w:rPr>
            </w:pPr>
            <w:r w:rsidRPr="00683518">
              <w:rPr>
                <w:szCs w:val="20"/>
              </w:rPr>
              <w:t>Assembly</w:t>
            </w:r>
          </w:p>
        </w:tc>
        <w:tc>
          <w:tcPr>
            <w:tcW w:w="575" w:type="pct"/>
            <w:tcBorders>
              <w:top w:val="single" w:sz="4" w:space="0" w:color="auto"/>
              <w:left w:val="single" w:sz="4" w:space="0" w:color="auto"/>
              <w:bottom w:val="single" w:sz="4" w:space="0" w:color="auto"/>
              <w:right w:val="single" w:sz="4" w:space="0" w:color="auto"/>
            </w:tcBorders>
            <w:vAlign w:val="center"/>
            <w:hideMark/>
          </w:tcPr>
          <w:p w14:paraId="3EB13315" w14:textId="38721099" w:rsidR="00AA5A92" w:rsidRPr="00C74D45" w:rsidRDefault="00AA5A92" w:rsidP="00C74D45">
            <w:pPr>
              <w:jc w:val="center"/>
              <w:rPr>
                <w:szCs w:val="20"/>
              </w:rPr>
            </w:pPr>
            <w:r w:rsidRPr="00683518">
              <w:rPr>
                <w:szCs w:val="20"/>
              </w:rPr>
              <w:t>4.7</w:t>
            </w:r>
          </w:p>
        </w:tc>
        <w:tc>
          <w:tcPr>
            <w:tcW w:w="575" w:type="pct"/>
            <w:tcBorders>
              <w:top w:val="single" w:sz="4" w:space="0" w:color="auto"/>
              <w:left w:val="single" w:sz="4" w:space="0" w:color="auto"/>
              <w:bottom w:val="single" w:sz="4" w:space="0" w:color="auto"/>
              <w:right w:val="single" w:sz="4" w:space="0" w:color="auto"/>
            </w:tcBorders>
            <w:vAlign w:val="center"/>
            <w:hideMark/>
          </w:tcPr>
          <w:p w14:paraId="2F0187AB" w14:textId="57FF93CC" w:rsidR="00AA5A92" w:rsidRPr="00C74D45" w:rsidRDefault="00AA5A92" w:rsidP="00C74D45">
            <w:pPr>
              <w:jc w:val="center"/>
              <w:rPr>
                <w:szCs w:val="20"/>
              </w:rPr>
            </w:pPr>
            <w:r>
              <w:rPr>
                <w:szCs w:val="20"/>
              </w:rPr>
              <w:t>1.6</w:t>
            </w:r>
          </w:p>
        </w:tc>
        <w:tc>
          <w:tcPr>
            <w:tcW w:w="884" w:type="pct"/>
            <w:tcBorders>
              <w:top w:val="single" w:sz="4" w:space="0" w:color="auto"/>
              <w:left w:val="single" w:sz="4" w:space="0" w:color="auto"/>
              <w:bottom w:val="single" w:sz="4" w:space="0" w:color="auto"/>
              <w:right w:val="single" w:sz="4" w:space="0" w:color="auto"/>
            </w:tcBorders>
            <w:vAlign w:val="center"/>
          </w:tcPr>
          <w:p w14:paraId="60FE87EE" w14:textId="5DD05850" w:rsidR="00AA5A92" w:rsidRDefault="00AA5A92">
            <w:pPr>
              <w:jc w:val="center"/>
              <w:rPr>
                <w:rFonts w:ascii="Calibri" w:hAnsi="Calibri"/>
                <w:szCs w:val="22"/>
              </w:rPr>
            </w:pPr>
            <w:r w:rsidRPr="00683518">
              <w:rPr>
                <w:szCs w:val="20"/>
              </w:rPr>
              <w:t>5,110</w:t>
            </w:r>
          </w:p>
        </w:tc>
        <w:tc>
          <w:tcPr>
            <w:tcW w:w="884" w:type="pct"/>
            <w:tcBorders>
              <w:top w:val="single" w:sz="4" w:space="0" w:color="auto"/>
              <w:left w:val="single" w:sz="4" w:space="0" w:color="auto"/>
              <w:bottom w:val="single" w:sz="4" w:space="0" w:color="auto"/>
              <w:right w:val="single" w:sz="4" w:space="0" w:color="auto"/>
            </w:tcBorders>
          </w:tcPr>
          <w:p w14:paraId="0A009526" w14:textId="53BEFD0C" w:rsidR="00AA5A92" w:rsidRDefault="00AA5A92" w:rsidP="00A0453B">
            <w:pPr>
              <w:jc w:val="center"/>
              <w:rPr>
                <w:rFonts w:ascii="Calibri" w:hAnsi="Calibri"/>
                <w:szCs w:val="22"/>
              </w:rPr>
            </w:pPr>
            <w:r>
              <w:rPr>
                <w:rFonts w:ascii="Calibri" w:hAnsi="Calibri"/>
                <w:szCs w:val="22"/>
              </w:rPr>
              <w:t>READi Tool</w:t>
            </w:r>
          </w:p>
          <w:p w14:paraId="013D56F8" w14:textId="536691AB" w:rsidR="00AA5A92" w:rsidRDefault="00AA5A92">
            <w:pPr>
              <w:jc w:val="center"/>
              <w:rPr>
                <w:szCs w:val="20"/>
              </w:rPr>
            </w:pPr>
            <w:r>
              <w:rPr>
                <w:rFonts w:ascii="Calibri" w:hAnsi="Calibri"/>
                <w:szCs w:val="22"/>
              </w:rPr>
              <w:t>2.4.7</w:t>
            </w:r>
          </w:p>
        </w:tc>
      </w:tr>
      <w:tr w:rsidR="00AA5A92" w:rsidRPr="000A7EB8" w14:paraId="6301C9A6" w14:textId="293E27EF"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2C112863" w14:textId="3E09A0E9"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7A44DBB5" w14:textId="382F4E10" w:rsidR="00AA5A92" w:rsidRPr="000A7EB8" w:rsidRDefault="00AA5A92">
            <w:pPr>
              <w:jc w:val="center"/>
              <w:rPr>
                <w:szCs w:val="20"/>
              </w:rPr>
            </w:pPr>
            <w:r w:rsidRPr="00683518">
              <w:rPr>
                <w:szCs w:val="20"/>
              </w:rPr>
              <w:t>Education – Community College*</w:t>
            </w:r>
          </w:p>
        </w:tc>
        <w:tc>
          <w:tcPr>
            <w:tcW w:w="575" w:type="pct"/>
            <w:tcBorders>
              <w:top w:val="single" w:sz="4" w:space="0" w:color="auto"/>
              <w:left w:val="single" w:sz="4" w:space="0" w:color="auto"/>
              <w:bottom w:val="single" w:sz="4" w:space="0" w:color="auto"/>
              <w:right w:val="single" w:sz="4" w:space="0" w:color="auto"/>
            </w:tcBorders>
            <w:vAlign w:val="center"/>
          </w:tcPr>
          <w:p w14:paraId="3EADAF2E" w14:textId="0AF388BD" w:rsidR="00AA5A92" w:rsidRPr="000A7EB8" w:rsidRDefault="00AA5A92">
            <w:pPr>
              <w:jc w:val="center"/>
              <w:rPr>
                <w:szCs w:val="20"/>
              </w:rPr>
            </w:pPr>
            <w:r>
              <w:rPr>
                <w:szCs w:val="20"/>
              </w:rPr>
              <w:t>5.0</w:t>
            </w:r>
          </w:p>
        </w:tc>
        <w:tc>
          <w:tcPr>
            <w:tcW w:w="575" w:type="pct"/>
            <w:tcBorders>
              <w:top w:val="single" w:sz="4" w:space="0" w:color="auto"/>
              <w:left w:val="single" w:sz="4" w:space="0" w:color="auto"/>
              <w:bottom w:val="single" w:sz="4" w:space="0" w:color="auto"/>
              <w:right w:val="single" w:sz="4" w:space="0" w:color="auto"/>
            </w:tcBorders>
            <w:vAlign w:val="center"/>
          </w:tcPr>
          <w:p w14:paraId="28265E70" w14:textId="02D5E370" w:rsidR="00AA5A92" w:rsidRPr="000A7EB8" w:rsidRDefault="00AA5A92">
            <w:pPr>
              <w:jc w:val="center"/>
              <w:rPr>
                <w:szCs w:val="20"/>
              </w:rPr>
            </w:pPr>
            <w:r>
              <w:rPr>
                <w:szCs w:val="20"/>
              </w:rPr>
              <w:t>1.7</w:t>
            </w:r>
          </w:p>
        </w:tc>
        <w:tc>
          <w:tcPr>
            <w:tcW w:w="884" w:type="pct"/>
            <w:tcBorders>
              <w:top w:val="single" w:sz="4" w:space="0" w:color="auto"/>
              <w:left w:val="single" w:sz="4" w:space="0" w:color="auto"/>
              <w:bottom w:val="single" w:sz="4" w:space="0" w:color="auto"/>
              <w:right w:val="single" w:sz="4" w:space="0" w:color="auto"/>
            </w:tcBorders>
            <w:vAlign w:val="center"/>
          </w:tcPr>
          <w:p w14:paraId="7ACA8385" w14:textId="1CD8D739" w:rsidR="00AA5A92" w:rsidRDefault="00AA5A92">
            <w:pPr>
              <w:jc w:val="center"/>
              <w:rPr>
                <w:rFonts w:ascii="Calibri" w:hAnsi="Calibri"/>
                <w:szCs w:val="22"/>
              </w:rPr>
            </w:pPr>
            <w:r w:rsidRPr="00683518">
              <w:rPr>
                <w:szCs w:val="20"/>
              </w:rPr>
              <w:t>3,828</w:t>
            </w:r>
          </w:p>
        </w:tc>
        <w:tc>
          <w:tcPr>
            <w:tcW w:w="884" w:type="pct"/>
            <w:tcBorders>
              <w:top w:val="single" w:sz="4" w:space="0" w:color="auto"/>
              <w:left w:val="single" w:sz="4" w:space="0" w:color="auto"/>
              <w:bottom w:val="single" w:sz="4" w:space="0" w:color="auto"/>
              <w:right w:val="single" w:sz="4" w:space="0" w:color="auto"/>
            </w:tcBorders>
          </w:tcPr>
          <w:p w14:paraId="20EF362C" w14:textId="1FB195BF" w:rsidR="00AA5A92" w:rsidRDefault="00AA5A92" w:rsidP="00A0453B">
            <w:pPr>
              <w:jc w:val="center"/>
              <w:rPr>
                <w:rFonts w:ascii="Calibri" w:hAnsi="Calibri"/>
                <w:szCs w:val="22"/>
              </w:rPr>
            </w:pPr>
            <w:r>
              <w:rPr>
                <w:rFonts w:ascii="Calibri" w:hAnsi="Calibri"/>
                <w:szCs w:val="22"/>
              </w:rPr>
              <w:t>READi Tool</w:t>
            </w:r>
          </w:p>
          <w:p w14:paraId="508ECC5F" w14:textId="13FE02CA" w:rsidR="00AA5A92" w:rsidRDefault="00AA5A92">
            <w:pPr>
              <w:jc w:val="center"/>
              <w:rPr>
                <w:szCs w:val="20"/>
              </w:rPr>
            </w:pPr>
            <w:r>
              <w:rPr>
                <w:rFonts w:ascii="Calibri" w:hAnsi="Calibri"/>
                <w:szCs w:val="22"/>
              </w:rPr>
              <w:t>2.4.7</w:t>
            </w:r>
          </w:p>
        </w:tc>
      </w:tr>
      <w:tr w:rsidR="00AA5A92" w:rsidRPr="000A7EB8" w14:paraId="3754E0B3" w14:textId="114347F9"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56A1D2C6" w14:textId="74A88BE6"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2605A9BC" w14:textId="09D2876B" w:rsidR="00AA5A92" w:rsidRPr="000A7EB8" w:rsidRDefault="00AA5A92">
            <w:pPr>
              <w:jc w:val="center"/>
              <w:rPr>
                <w:szCs w:val="20"/>
              </w:rPr>
            </w:pPr>
            <w:r w:rsidRPr="00683518">
              <w:rPr>
                <w:szCs w:val="20"/>
              </w:rPr>
              <w:t>Education – Primary School</w:t>
            </w:r>
          </w:p>
        </w:tc>
        <w:tc>
          <w:tcPr>
            <w:tcW w:w="575" w:type="pct"/>
            <w:tcBorders>
              <w:top w:val="single" w:sz="4" w:space="0" w:color="auto"/>
              <w:left w:val="single" w:sz="4" w:space="0" w:color="auto"/>
              <w:bottom w:val="single" w:sz="4" w:space="0" w:color="auto"/>
              <w:right w:val="single" w:sz="4" w:space="0" w:color="auto"/>
            </w:tcBorders>
            <w:vAlign w:val="center"/>
          </w:tcPr>
          <w:p w14:paraId="424D4F7D" w14:textId="3BD17541" w:rsidR="00AA5A92" w:rsidRPr="000A7EB8" w:rsidRDefault="00AA5A92">
            <w:pPr>
              <w:jc w:val="center"/>
              <w:rPr>
                <w:szCs w:val="20"/>
              </w:rPr>
            </w:pPr>
            <w:r>
              <w:rPr>
                <w:szCs w:val="20"/>
              </w:rPr>
              <w:t>5.0</w:t>
            </w:r>
          </w:p>
        </w:tc>
        <w:tc>
          <w:tcPr>
            <w:tcW w:w="575" w:type="pct"/>
            <w:tcBorders>
              <w:top w:val="single" w:sz="4" w:space="0" w:color="auto"/>
              <w:left w:val="single" w:sz="4" w:space="0" w:color="auto"/>
              <w:bottom w:val="single" w:sz="4" w:space="0" w:color="auto"/>
              <w:right w:val="single" w:sz="4" w:space="0" w:color="auto"/>
            </w:tcBorders>
            <w:vAlign w:val="center"/>
          </w:tcPr>
          <w:p w14:paraId="2AEF3F1C" w14:textId="5344949D" w:rsidR="00AA5A92" w:rsidRPr="000A7EB8" w:rsidRDefault="00AA5A92">
            <w:pPr>
              <w:jc w:val="center"/>
              <w:rPr>
                <w:szCs w:val="20"/>
              </w:rPr>
            </w:pPr>
            <w:r>
              <w:rPr>
                <w:szCs w:val="20"/>
              </w:rPr>
              <w:t>1.7</w:t>
            </w:r>
          </w:p>
        </w:tc>
        <w:tc>
          <w:tcPr>
            <w:tcW w:w="884" w:type="pct"/>
            <w:tcBorders>
              <w:top w:val="single" w:sz="4" w:space="0" w:color="auto"/>
              <w:left w:val="single" w:sz="4" w:space="0" w:color="auto"/>
              <w:bottom w:val="single" w:sz="4" w:space="0" w:color="auto"/>
              <w:right w:val="single" w:sz="4" w:space="0" w:color="auto"/>
            </w:tcBorders>
            <w:vAlign w:val="center"/>
          </w:tcPr>
          <w:p w14:paraId="00B3219F" w14:textId="45C5573C" w:rsidR="00AA5A92" w:rsidRDefault="00AA5A92">
            <w:pPr>
              <w:jc w:val="center"/>
              <w:rPr>
                <w:rFonts w:ascii="Calibri" w:hAnsi="Calibri"/>
                <w:szCs w:val="22"/>
              </w:rPr>
            </w:pPr>
            <w:r w:rsidRPr="00683518">
              <w:rPr>
                <w:szCs w:val="20"/>
              </w:rPr>
              <w:t>2,616</w:t>
            </w:r>
          </w:p>
        </w:tc>
        <w:tc>
          <w:tcPr>
            <w:tcW w:w="884" w:type="pct"/>
            <w:tcBorders>
              <w:top w:val="single" w:sz="4" w:space="0" w:color="auto"/>
              <w:left w:val="single" w:sz="4" w:space="0" w:color="auto"/>
              <w:bottom w:val="single" w:sz="4" w:space="0" w:color="auto"/>
              <w:right w:val="single" w:sz="4" w:space="0" w:color="auto"/>
            </w:tcBorders>
          </w:tcPr>
          <w:p w14:paraId="12BDB9D4" w14:textId="46247BEE" w:rsidR="00AA5A92" w:rsidRDefault="00AA5A92" w:rsidP="00A0453B">
            <w:pPr>
              <w:jc w:val="center"/>
              <w:rPr>
                <w:rFonts w:ascii="Calibri" w:hAnsi="Calibri"/>
                <w:szCs w:val="22"/>
              </w:rPr>
            </w:pPr>
            <w:r>
              <w:rPr>
                <w:rFonts w:ascii="Calibri" w:hAnsi="Calibri"/>
                <w:szCs w:val="22"/>
              </w:rPr>
              <w:t>READi Tool</w:t>
            </w:r>
          </w:p>
          <w:p w14:paraId="5D2CC305" w14:textId="138EC792" w:rsidR="00AA5A92" w:rsidRDefault="00AA5A92">
            <w:pPr>
              <w:jc w:val="center"/>
              <w:rPr>
                <w:szCs w:val="20"/>
              </w:rPr>
            </w:pPr>
            <w:r>
              <w:rPr>
                <w:rFonts w:ascii="Calibri" w:hAnsi="Calibri"/>
                <w:szCs w:val="22"/>
              </w:rPr>
              <w:t>2.4.7</w:t>
            </w:r>
          </w:p>
        </w:tc>
      </w:tr>
      <w:tr w:rsidR="00AA5A92" w:rsidRPr="000A7EB8" w14:paraId="2BDB29ED" w14:textId="19426D10"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4E3D1076" w14:textId="74CDBB07"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294183A7" w14:textId="6CA1D1E9" w:rsidR="00AA5A92" w:rsidRPr="000A7EB8" w:rsidRDefault="00AA5A92">
            <w:pPr>
              <w:jc w:val="center"/>
              <w:rPr>
                <w:szCs w:val="20"/>
              </w:rPr>
            </w:pPr>
            <w:r w:rsidRPr="00683518">
              <w:rPr>
                <w:szCs w:val="20"/>
              </w:rPr>
              <w:t>Education – Secondary School*</w:t>
            </w:r>
          </w:p>
        </w:tc>
        <w:tc>
          <w:tcPr>
            <w:tcW w:w="575" w:type="pct"/>
            <w:tcBorders>
              <w:top w:val="single" w:sz="4" w:space="0" w:color="auto"/>
              <w:left w:val="single" w:sz="4" w:space="0" w:color="auto"/>
              <w:bottom w:val="single" w:sz="4" w:space="0" w:color="auto"/>
              <w:right w:val="single" w:sz="4" w:space="0" w:color="auto"/>
            </w:tcBorders>
            <w:vAlign w:val="center"/>
          </w:tcPr>
          <w:p w14:paraId="51647209" w14:textId="6D8C1A19" w:rsidR="00AA5A92" w:rsidRPr="000A7EB8" w:rsidRDefault="00AA5A92">
            <w:pPr>
              <w:jc w:val="center"/>
              <w:rPr>
                <w:szCs w:val="20"/>
              </w:rPr>
            </w:pPr>
            <w:r>
              <w:rPr>
                <w:szCs w:val="20"/>
              </w:rPr>
              <w:t>5.0</w:t>
            </w:r>
          </w:p>
        </w:tc>
        <w:tc>
          <w:tcPr>
            <w:tcW w:w="575" w:type="pct"/>
            <w:tcBorders>
              <w:top w:val="single" w:sz="4" w:space="0" w:color="auto"/>
              <w:left w:val="single" w:sz="4" w:space="0" w:color="auto"/>
              <w:bottom w:val="single" w:sz="4" w:space="0" w:color="auto"/>
              <w:right w:val="single" w:sz="4" w:space="0" w:color="auto"/>
            </w:tcBorders>
            <w:vAlign w:val="center"/>
          </w:tcPr>
          <w:p w14:paraId="1577B158" w14:textId="090635F6" w:rsidR="00AA5A92" w:rsidRPr="000A7EB8" w:rsidRDefault="00AA5A92">
            <w:pPr>
              <w:jc w:val="center"/>
              <w:rPr>
                <w:szCs w:val="20"/>
              </w:rPr>
            </w:pPr>
            <w:r>
              <w:rPr>
                <w:szCs w:val="20"/>
              </w:rPr>
              <w:t>1.7</w:t>
            </w:r>
          </w:p>
        </w:tc>
        <w:tc>
          <w:tcPr>
            <w:tcW w:w="884" w:type="pct"/>
            <w:tcBorders>
              <w:top w:val="single" w:sz="4" w:space="0" w:color="auto"/>
              <w:left w:val="single" w:sz="4" w:space="0" w:color="auto"/>
              <w:bottom w:val="single" w:sz="4" w:space="0" w:color="auto"/>
              <w:right w:val="single" w:sz="4" w:space="0" w:color="auto"/>
            </w:tcBorders>
            <w:vAlign w:val="center"/>
          </w:tcPr>
          <w:p w14:paraId="4DF10F23" w14:textId="3EB0751C" w:rsidR="00AA5A92" w:rsidRDefault="00AA5A92">
            <w:pPr>
              <w:jc w:val="center"/>
              <w:rPr>
                <w:rFonts w:ascii="Calibri" w:hAnsi="Calibri"/>
                <w:szCs w:val="22"/>
              </w:rPr>
            </w:pPr>
            <w:r w:rsidRPr="00683518">
              <w:rPr>
                <w:szCs w:val="20"/>
              </w:rPr>
              <w:t>2,840</w:t>
            </w:r>
          </w:p>
        </w:tc>
        <w:tc>
          <w:tcPr>
            <w:tcW w:w="884" w:type="pct"/>
            <w:tcBorders>
              <w:top w:val="single" w:sz="4" w:space="0" w:color="auto"/>
              <w:left w:val="single" w:sz="4" w:space="0" w:color="auto"/>
              <w:bottom w:val="single" w:sz="4" w:space="0" w:color="auto"/>
              <w:right w:val="single" w:sz="4" w:space="0" w:color="auto"/>
            </w:tcBorders>
          </w:tcPr>
          <w:p w14:paraId="678ADF70" w14:textId="731D812A" w:rsidR="00AA5A92" w:rsidRDefault="00AA5A92" w:rsidP="00A0453B">
            <w:pPr>
              <w:jc w:val="center"/>
              <w:rPr>
                <w:rFonts w:ascii="Calibri" w:hAnsi="Calibri"/>
                <w:szCs w:val="22"/>
              </w:rPr>
            </w:pPr>
            <w:r>
              <w:rPr>
                <w:rFonts w:ascii="Calibri" w:hAnsi="Calibri"/>
                <w:szCs w:val="22"/>
              </w:rPr>
              <w:t>READi Tool</w:t>
            </w:r>
          </w:p>
          <w:p w14:paraId="245EB4EA" w14:textId="55AABCC1" w:rsidR="00AA5A92" w:rsidRDefault="00AA5A92">
            <w:pPr>
              <w:jc w:val="center"/>
              <w:rPr>
                <w:szCs w:val="20"/>
              </w:rPr>
            </w:pPr>
            <w:r>
              <w:rPr>
                <w:rFonts w:ascii="Calibri" w:hAnsi="Calibri"/>
                <w:szCs w:val="22"/>
              </w:rPr>
              <w:t>2.4.7</w:t>
            </w:r>
          </w:p>
        </w:tc>
      </w:tr>
      <w:tr w:rsidR="00AA5A92" w:rsidRPr="000A7EB8" w14:paraId="58752B14" w14:textId="604F2E07"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11E44257" w14:textId="469380EC"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3399A98E" w14:textId="16FEC0C6" w:rsidR="00AA5A92" w:rsidRPr="000A7EB8" w:rsidRDefault="00AA5A92">
            <w:pPr>
              <w:jc w:val="center"/>
              <w:rPr>
                <w:szCs w:val="20"/>
              </w:rPr>
            </w:pPr>
            <w:r w:rsidRPr="00683518">
              <w:rPr>
                <w:szCs w:val="20"/>
              </w:rPr>
              <w:t>Education – University*</w:t>
            </w:r>
          </w:p>
        </w:tc>
        <w:tc>
          <w:tcPr>
            <w:tcW w:w="575" w:type="pct"/>
            <w:tcBorders>
              <w:top w:val="single" w:sz="4" w:space="0" w:color="auto"/>
              <w:left w:val="single" w:sz="4" w:space="0" w:color="auto"/>
              <w:bottom w:val="single" w:sz="4" w:space="0" w:color="auto"/>
              <w:right w:val="single" w:sz="4" w:space="0" w:color="auto"/>
            </w:tcBorders>
            <w:vAlign w:val="center"/>
          </w:tcPr>
          <w:p w14:paraId="290A7FD5" w14:textId="32D228F8" w:rsidR="00AA5A92" w:rsidRPr="000A7EB8" w:rsidRDefault="00AA5A92">
            <w:pPr>
              <w:jc w:val="center"/>
              <w:rPr>
                <w:szCs w:val="20"/>
              </w:rPr>
            </w:pPr>
            <w:r>
              <w:rPr>
                <w:szCs w:val="20"/>
              </w:rPr>
              <w:t>2.7</w:t>
            </w:r>
          </w:p>
        </w:tc>
        <w:tc>
          <w:tcPr>
            <w:tcW w:w="575" w:type="pct"/>
            <w:tcBorders>
              <w:top w:val="single" w:sz="4" w:space="0" w:color="auto"/>
              <w:left w:val="single" w:sz="4" w:space="0" w:color="auto"/>
              <w:bottom w:val="single" w:sz="4" w:space="0" w:color="auto"/>
              <w:right w:val="single" w:sz="4" w:space="0" w:color="auto"/>
            </w:tcBorders>
            <w:vAlign w:val="center"/>
          </w:tcPr>
          <w:p w14:paraId="12D6E0A7" w14:textId="4E50D98F" w:rsidR="00AA5A92" w:rsidRPr="000A7EB8" w:rsidRDefault="00AA5A92">
            <w:pPr>
              <w:jc w:val="center"/>
              <w:rPr>
                <w:szCs w:val="20"/>
              </w:rPr>
            </w:pPr>
            <w:r>
              <w:rPr>
                <w:szCs w:val="20"/>
              </w:rPr>
              <w:t>0.9</w:t>
            </w:r>
          </w:p>
        </w:tc>
        <w:tc>
          <w:tcPr>
            <w:tcW w:w="884" w:type="pct"/>
            <w:tcBorders>
              <w:top w:val="single" w:sz="4" w:space="0" w:color="auto"/>
              <w:left w:val="single" w:sz="4" w:space="0" w:color="auto"/>
              <w:bottom w:val="single" w:sz="4" w:space="0" w:color="auto"/>
              <w:right w:val="single" w:sz="4" w:space="0" w:color="auto"/>
            </w:tcBorders>
            <w:vAlign w:val="center"/>
          </w:tcPr>
          <w:p w14:paraId="79DC2C6E" w14:textId="1289849F" w:rsidR="00AA5A92" w:rsidRDefault="00AA5A92">
            <w:pPr>
              <w:jc w:val="center"/>
              <w:rPr>
                <w:rFonts w:ascii="Calibri" w:hAnsi="Calibri"/>
                <w:szCs w:val="22"/>
              </w:rPr>
            </w:pPr>
            <w:r w:rsidRPr="00683518">
              <w:rPr>
                <w:szCs w:val="20"/>
              </w:rPr>
              <w:t>4,671</w:t>
            </w:r>
          </w:p>
        </w:tc>
        <w:tc>
          <w:tcPr>
            <w:tcW w:w="884" w:type="pct"/>
            <w:tcBorders>
              <w:top w:val="single" w:sz="4" w:space="0" w:color="auto"/>
              <w:left w:val="single" w:sz="4" w:space="0" w:color="auto"/>
              <w:bottom w:val="single" w:sz="4" w:space="0" w:color="auto"/>
              <w:right w:val="single" w:sz="4" w:space="0" w:color="auto"/>
            </w:tcBorders>
          </w:tcPr>
          <w:p w14:paraId="58A5A526" w14:textId="33DE7FDE" w:rsidR="00AA5A92" w:rsidRDefault="00AA5A92">
            <w:pPr>
              <w:jc w:val="center"/>
              <w:rPr>
                <w:szCs w:val="20"/>
              </w:rPr>
            </w:pPr>
            <w:r>
              <w:rPr>
                <w:rFonts w:ascii="Calibri" w:hAnsi="Calibri"/>
                <w:szCs w:val="22"/>
              </w:rPr>
              <w:t>WP SCE13HC040.2</w:t>
            </w:r>
          </w:p>
        </w:tc>
      </w:tr>
      <w:tr w:rsidR="00AA5A92" w:rsidRPr="000A7EB8" w14:paraId="719F4C00" w14:textId="65BD7E24"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220271E3" w14:textId="59913425"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5565661D" w14:textId="46361969" w:rsidR="00AA5A92" w:rsidRPr="000A7EB8" w:rsidRDefault="00AA5A92">
            <w:pPr>
              <w:jc w:val="center"/>
              <w:rPr>
                <w:szCs w:val="20"/>
              </w:rPr>
            </w:pPr>
            <w:r>
              <w:rPr>
                <w:szCs w:val="20"/>
              </w:rPr>
              <w:t xml:space="preserve">Education </w:t>
            </w:r>
            <w:r w:rsidRPr="00683518">
              <w:rPr>
                <w:szCs w:val="20"/>
              </w:rPr>
              <w:t>–</w:t>
            </w:r>
            <w:r>
              <w:rPr>
                <w:szCs w:val="20"/>
              </w:rPr>
              <w:t xml:space="preserve"> Relocatable Classroom</w:t>
            </w:r>
          </w:p>
        </w:tc>
        <w:tc>
          <w:tcPr>
            <w:tcW w:w="575" w:type="pct"/>
            <w:tcBorders>
              <w:top w:val="single" w:sz="4" w:space="0" w:color="auto"/>
              <w:left w:val="single" w:sz="4" w:space="0" w:color="auto"/>
              <w:bottom w:val="single" w:sz="4" w:space="0" w:color="auto"/>
              <w:right w:val="single" w:sz="4" w:space="0" w:color="auto"/>
            </w:tcBorders>
            <w:vAlign w:val="center"/>
          </w:tcPr>
          <w:p w14:paraId="2E0B48C4" w14:textId="437A7D8C" w:rsidR="00AA5A92" w:rsidRPr="000A7EB8" w:rsidRDefault="00AA5A92">
            <w:pPr>
              <w:jc w:val="center"/>
              <w:rPr>
                <w:szCs w:val="20"/>
              </w:rPr>
            </w:pPr>
            <w:r>
              <w:rPr>
                <w:szCs w:val="20"/>
              </w:rPr>
              <w:t>2.7</w:t>
            </w:r>
          </w:p>
        </w:tc>
        <w:tc>
          <w:tcPr>
            <w:tcW w:w="575" w:type="pct"/>
            <w:tcBorders>
              <w:top w:val="single" w:sz="4" w:space="0" w:color="auto"/>
              <w:left w:val="single" w:sz="4" w:space="0" w:color="auto"/>
              <w:bottom w:val="single" w:sz="4" w:space="0" w:color="auto"/>
              <w:right w:val="single" w:sz="4" w:space="0" w:color="auto"/>
            </w:tcBorders>
            <w:vAlign w:val="center"/>
          </w:tcPr>
          <w:p w14:paraId="01F36611" w14:textId="6A6E59B4" w:rsidR="00AA5A92" w:rsidRPr="000A7EB8" w:rsidRDefault="00AA5A92">
            <w:pPr>
              <w:jc w:val="center"/>
              <w:rPr>
                <w:szCs w:val="20"/>
              </w:rPr>
            </w:pPr>
            <w:r>
              <w:rPr>
                <w:szCs w:val="20"/>
              </w:rPr>
              <w:t>0.9</w:t>
            </w:r>
          </w:p>
        </w:tc>
        <w:tc>
          <w:tcPr>
            <w:tcW w:w="884" w:type="pct"/>
            <w:tcBorders>
              <w:top w:val="single" w:sz="4" w:space="0" w:color="auto"/>
              <w:left w:val="single" w:sz="4" w:space="0" w:color="auto"/>
              <w:bottom w:val="single" w:sz="4" w:space="0" w:color="auto"/>
              <w:right w:val="single" w:sz="4" w:space="0" w:color="auto"/>
            </w:tcBorders>
            <w:vAlign w:val="center"/>
          </w:tcPr>
          <w:p w14:paraId="621605D1" w14:textId="40B18C3F" w:rsidR="00AA5A92" w:rsidRDefault="00AA5A92">
            <w:pPr>
              <w:jc w:val="center"/>
              <w:rPr>
                <w:rFonts w:ascii="Calibri" w:hAnsi="Calibri"/>
                <w:szCs w:val="22"/>
              </w:rPr>
            </w:pPr>
            <w:r>
              <w:rPr>
                <w:szCs w:val="20"/>
              </w:rPr>
              <w:t>5,012</w:t>
            </w:r>
          </w:p>
        </w:tc>
        <w:tc>
          <w:tcPr>
            <w:tcW w:w="884" w:type="pct"/>
            <w:tcBorders>
              <w:top w:val="single" w:sz="4" w:space="0" w:color="auto"/>
              <w:left w:val="single" w:sz="4" w:space="0" w:color="auto"/>
              <w:bottom w:val="single" w:sz="4" w:space="0" w:color="auto"/>
              <w:right w:val="single" w:sz="4" w:space="0" w:color="auto"/>
            </w:tcBorders>
          </w:tcPr>
          <w:p w14:paraId="319D1507" w14:textId="0EA16E6D" w:rsidR="00AA5A92" w:rsidRDefault="00AA5A92">
            <w:pPr>
              <w:jc w:val="center"/>
              <w:rPr>
                <w:szCs w:val="20"/>
              </w:rPr>
            </w:pPr>
            <w:r>
              <w:rPr>
                <w:rFonts w:ascii="Calibri" w:hAnsi="Calibri"/>
                <w:szCs w:val="22"/>
              </w:rPr>
              <w:t>WP SCE13HC040.2</w:t>
            </w:r>
          </w:p>
        </w:tc>
      </w:tr>
      <w:tr w:rsidR="00AA5A92" w:rsidRPr="000A7EB8" w14:paraId="01CCD259" w14:textId="723C813C"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07339431" w14:textId="43E90B48"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78663B1E" w14:textId="2479B4CD" w:rsidR="00AA5A92" w:rsidRPr="000A7EB8" w:rsidRDefault="00AA5A92">
            <w:pPr>
              <w:jc w:val="center"/>
              <w:rPr>
                <w:szCs w:val="20"/>
              </w:rPr>
            </w:pPr>
            <w:r w:rsidRPr="00683518">
              <w:rPr>
                <w:szCs w:val="20"/>
              </w:rPr>
              <w:t>Health/Medical – Hospital *</w:t>
            </w:r>
          </w:p>
        </w:tc>
        <w:tc>
          <w:tcPr>
            <w:tcW w:w="575" w:type="pct"/>
            <w:tcBorders>
              <w:top w:val="single" w:sz="4" w:space="0" w:color="auto"/>
              <w:left w:val="single" w:sz="4" w:space="0" w:color="auto"/>
              <w:bottom w:val="single" w:sz="4" w:space="0" w:color="auto"/>
              <w:right w:val="single" w:sz="4" w:space="0" w:color="auto"/>
            </w:tcBorders>
            <w:vAlign w:val="center"/>
          </w:tcPr>
          <w:p w14:paraId="04F6E7D0" w14:textId="4D2F3A53" w:rsidR="00AA5A92" w:rsidRPr="000A7EB8" w:rsidRDefault="00AA5A92">
            <w:pPr>
              <w:jc w:val="center"/>
              <w:rPr>
                <w:szCs w:val="20"/>
              </w:rPr>
            </w:pPr>
            <w:r w:rsidRPr="00683518">
              <w:rPr>
                <w:szCs w:val="20"/>
              </w:rPr>
              <w:t>2.7</w:t>
            </w:r>
          </w:p>
        </w:tc>
        <w:tc>
          <w:tcPr>
            <w:tcW w:w="575" w:type="pct"/>
            <w:tcBorders>
              <w:top w:val="single" w:sz="4" w:space="0" w:color="auto"/>
              <w:left w:val="single" w:sz="4" w:space="0" w:color="auto"/>
              <w:bottom w:val="single" w:sz="4" w:space="0" w:color="auto"/>
              <w:right w:val="single" w:sz="4" w:space="0" w:color="auto"/>
            </w:tcBorders>
            <w:vAlign w:val="center"/>
          </w:tcPr>
          <w:p w14:paraId="0F27B80F" w14:textId="26742F0D" w:rsidR="00AA5A92" w:rsidRPr="000A7EB8" w:rsidRDefault="00AA5A92">
            <w:pPr>
              <w:jc w:val="center"/>
              <w:rPr>
                <w:szCs w:val="20"/>
              </w:rPr>
            </w:pPr>
            <w:r>
              <w:rPr>
                <w:szCs w:val="20"/>
              </w:rPr>
              <w:t>0.9</w:t>
            </w:r>
          </w:p>
        </w:tc>
        <w:tc>
          <w:tcPr>
            <w:tcW w:w="884" w:type="pct"/>
            <w:tcBorders>
              <w:top w:val="single" w:sz="4" w:space="0" w:color="auto"/>
              <w:left w:val="single" w:sz="4" w:space="0" w:color="auto"/>
              <w:bottom w:val="single" w:sz="4" w:space="0" w:color="auto"/>
              <w:right w:val="single" w:sz="4" w:space="0" w:color="auto"/>
            </w:tcBorders>
            <w:vAlign w:val="center"/>
          </w:tcPr>
          <w:p w14:paraId="095913F5" w14:textId="765E2779" w:rsidR="00AA5A92" w:rsidRDefault="00AA5A92">
            <w:pPr>
              <w:jc w:val="center"/>
              <w:rPr>
                <w:rFonts w:ascii="Calibri" w:hAnsi="Calibri"/>
                <w:szCs w:val="22"/>
              </w:rPr>
            </w:pPr>
            <w:r w:rsidRPr="00683518">
              <w:rPr>
                <w:szCs w:val="20"/>
              </w:rPr>
              <w:t>8,760</w:t>
            </w:r>
          </w:p>
        </w:tc>
        <w:tc>
          <w:tcPr>
            <w:tcW w:w="884" w:type="pct"/>
            <w:tcBorders>
              <w:top w:val="single" w:sz="4" w:space="0" w:color="auto"/>
              <w:left w:val="single" w:sz="4" w:space="0" w:color="auto"/>
              <w:bottom w:val="single" w:sz="4" w:space="0" w:color="auto"/>
              <w:right w:val="single" w:sz="4" w:space="0" w:color="auto"/>
            </w:tcBorders>
          </w:tcPr>
          <w:p w14:paraId="1636D6E2" w14:textId="01EA01F0" w:rsidR="00AA5A92" w:rsidRDefault="00AA5A92">
            <w:pPr>
              <w:jc w:val="center"/>
              <w:rPr>
                <w:szCs w:val="20"/>
              </w:rPr>
            </w:pPr>
            <w:r>
              <w:rPr>
                <w:rFonts w:ascii="Calibri" w:hAnsi="Calibri"/>
                <w:szCs w:val="22"/>
              </w:rPr>
              <w:t>WP SCE13HC040.2</w:t>
            </w:r>
          </w:p>
        </w:tc>
      </w:tr>
      <w:tr w:rsidR="00AA5A92" w:rsidRPr="000A7EB8" w14:paraId="783C63E3" w14:textId="50DE47C9"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29AE4AF8" w14:textId="10627BA7"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450CBA96" w14:textId="6C19E646" w:rsidR="00AA5A92" w:rsidRPr="000A7EB8" w:rsidRDefault="00AA5A92">
            <w:pPr>
              <w:jc w:val="center"/>
              <w:rPr>
                <w:szCs w:val="20"/>
              </w:rPr>
            </w:pPr>
            <w:r w:rsidRPr="00683518">
              <w:rPr>
                <w:szCs w:val="20"/>
              </w:rPr>
              <w:t>Lodging – Hotel*</w:t>
            </w:r>
          </w:p>
        </w:tc>
        <w:tc>
          <w:tcPr>
            <w:tcW w:w="575" w:type="pct"/>
            <w:tcBorders>
              <w:top w:val="single" w:sz="4" w:space="0" w:color="auto"/>
              <w:left w:val="single" w:sz="4" w:space="0" w:color="auto"/>
              <w:bottom w:val="single" w:sz="4" w:space="0" w:color="auto"/>
              <w:right w:val="single" w:sz="4" w:space="0" w:color="auto"/>
            </w:tcBorders>
            <w:vAlign w:val="center"/>
          </w:tcPr>
          <w:p w14:paraId="145EF26F" w14:textId="27DD7385" w:rsidR="00AA5A92" w:rsidRPr="000A7EB8" w:rsidRDefault="00AA5A92">
            <w:pPr>
              <w:jc w:val="center"/>
              <w:rPr>
                <w:szCs w:val="20"/>
              </w:rPr>
            </w:pPr>
            <w:r w:rsidRPr="00683518">
              <w:rPr>
                <w:szCs w:val="20"/>
              </w:rPr>
              <w:t>2.7</w:t>
            </w:r>
          </w:p>
        </w:tc>
        <w:tc>
          <w:tcPr>
            <w:tcW w:w="575" w:type="pct"/>
            <w:tcBorders>
              <w:top w:val="single" w:sz="4" w:space="0" w:color="auto"/>
              <w:left w:val="single" w:sz="4" w:space="0" w:color="auto"/>
              <w:bottom w:val="single" w:sz="4" w:space="0" w:color="auto"/>
              <w:right w:val="single" w:sz="4" w:space="0" w:color="auto"/>
            </w:tcBorders>
            <w:vAlign w:val="center"/>
          </w:tcPr>
          <w:p w14:paraId="198757B4" w14:textId="523DC556" w:rsidR="00AA5A92" w:rsidRPr="000A7EB8" w:rsidRDefault="00AA5A92">
            <w:pPr>
              <w:jc w:val="center"/>
              <w:rPr>
                <w:szCs w:val="20"/>
              </w:rPr>
            </w:pPr>
            <w:r>
              <w:rPr>
                <w:szCs w:val="20"/>
              </w:rPr>
              <w:t>0.9</w:t>
            </w:r>
          </w:p>
        </w:tc>
        <w:tc>
          <w:tcPr>
            <w:tcW w:w="884" w:type="pct"/>
            <w:tcBorders>
              <w:top w:val="single" w:sz="4" w:space="0" w:color="auto"/>
              <w:left w:val="single" w:sz="4" w:space="0" w:color="auto"/>
              <w:bottom w:val="single" w:sz="4" w:space="0" w:color="auto"/>
              <w:right w:val="single" w:sz="4" w:space="0" w:color="auto"/>
            </w:tcBorders>
            <w:vAlign w:val="center"/>
          </w:tcPr>
          <w:p w14:paraId="1656006A" w14:textId="151D3DF4" w:rsidR="00AA5A92" w:rsidRDefault="00AA5A92">
            <w:pPr>
              <w:jc w:val="center"/>
              <w:rPr>
                <w:rFonts w:ascii="Calibri" w:hAnsi="Calibri"/>
                <w:szCs w:val="22"/>
              </w:rPr>
            </w:pPr>
            <w:r w:rsidRPr="00683518">
              <w:rPr>
                <w:szCs w:val="20"/>
              </w:rPr>
              <w:t>8,760</w:t>
            </w:r>
          </w:p>
        </w:tc>
        <w:tc>
          <w:tcPr>
            <w:tcW w:w="884" w:type="pct"/>
            <w:tcBorders>
              <w:top w:val="single" w:sz="4" w:space="0" w:color="auto"/>
              <w:left w:val="single" w:sz="4" w:space="0" w:color="auto"/>
              <w:bottom w:val="single" w:sz="4" w:space="0" w:color="auto"/>
              <w:right w:val="single" w:sz="4" w:space="0" w:color="auto"/>
            </w:tcBorders>
          </w:tcPr>
          <w:p w14:paraId="7A74BFE2" w14:textId="395F4139" w:rsidR="00AA5A92" w:rsidRDefault="00AA5A92">
            <w:pPr>
              <w:jc w:val="center"/>
              <w:rPr>
                <w:szCs w:val="20"/>
              </w:rPr>
            </w:pPr>
            <w:r>
              <w:rPr>
                <w:rFonts w:ascii="Calibri" w:hAnsi="Calibri"/>
                <w:szCs w:val="22"/>
              </w:rPr>
              <w:t>WP SCE13HC040.2</w:t>
            </w:r>
          </w:p>
        </w:tc>
      </w:tr>
      <w:tr w:rsidR="00AA5A92" w:rsidRPr="000A7EB8" w14:paraId="5E7FDF60" w14:textId="6BF24772"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3FD0F0F4" w14:textId="13128C17" w:rsidR="00AA5A92" w:rsidRPr="000A7EB8" w:rsidRDefault="00AA5A92">
            <w:pPr>
              <w:jc w:val="center"/>
              <w:rPr>
                <w:rFonts w:ascii="Calibri" w:hAnsi="Calibri"/>
                <w:szCs w:val="22"/>
              </w:rPr>
            </w:pPr>
            <w:r w:rsidRPr="000A7EB8">
              <w:rPr>
                <w:rFonts w:ascii="Calibri" w:hAnsi="Calibri"/>
                <w:szCs w:val="22"/>
              </w:rPr>
              <w:lastRenderedPageBreak/>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6E3B4489" w14:textId="38A40869" w:rsidR="00AA5A92" w:rsidRPr="000A7EB8" w:rsidRDefault="00AA5A92">
            <w:pPr>
              <w:jc w:val="center"/>
              <w:rPr>
                <w:szCs w:val="20"/>
              </w:rPr>
            </w:pPr>
            <w:r>
              <w:rPr>
                <w:szCs w:val="20"/>
              </w:rPr>
              <w:t>Lodging – Motel</w:t>
            </w:r>
            <w:r w:rsidRPr="00683518">
              <w:rPr>
                <w:szCs w:val="20"/>
              </w:rPr>
              <w:t>*</w:t>
            </w:r>
          </w:p>
        </w:tc>
        <w:tc>
          <w:tcPr>
            <w:tcW w:w="575" w:type="pct"/>
            <w:tcBorders>
              <w:top w:val="single" w:sz="4" w:space="0" w:color="auto"/>
              <w:left w:val="single" w:sz="4" w:space="0" w:color="auto"/>
              <w:bottom w:val="single" w:sz="4" w:space="0" w:color="auto"/>
              <w:right w:val="single" w:sz="4" w:space="0" w:color="auto"/>
            </w:tcBorders>
            <w:vAlign w:val="center"/>
          </w:tcPr>
          <w:p w14:paraId="72C126B0" w14:textId="75A58856" w:rsidR="00AA5A92" w:rsidRPr="000A7EB8" w:rsidRDefault="00AA5A92">
            <w:pPr>
              <w:jc w:val="center"/>
              <w:rPr>
                <w:szCs w:val="20"/>
              </w:rPr>
            </w:pPr>
            <w:r w:rsidRPr="00683518">
              <w:rPr>
                <w:szCs w:val="20"/>
              </w:rPr>
              <w:t>2.7</w:t>
            </w:r>
          </w:p>
        </w:tc>
        <w:tc>
          <w:tcPr>
            <w:tcW w:w="575" w:type="pct"/>
            <w:tcBorders>
              <w:top w:val="single" w:sz="4" w:space="0" w:color="auto"/>
              <w:left w:val="single" w:sz="4" w:space="0" w:color="auto"/>
              <w:bottom w:val="single" w:sz="4" w:space="0" w:color="auto"/>
              <w:right w:val="single" w:sz="4" w:space="0" w:color="auto"/>
            </w:tcBorders>
            <w:vAlign w:val="center"/>
          </w:tcPr>
          <w:p w14:paraId="76F635EE" w14:textId="26C85640" w:rsidR="00AA5A92" w:rsidRPr="000A7EB8" w:rsidRDefault="00AA5A92">
            <w:pPr>
              <w:jc w:val="center"/>
              <w:rPr>
                <w:szCs w:val="20"/>
              </w:rPr>
            </w:pPr>
            <w:r>
              <w:rPr>
                <w:szCs w:val="20"/>
              </w:rPr>
              <w:t>0.9</w:t>
            </w:r>
          </w:p>
        </w:tc>
        <w:tc>
          <w:tcPr>
            <w:tcW w:w="884" w:type="pct"/>
            <w:tcBorders>
              <w:top w:val="single" w:sz="4" w:space="0" w:color="auto"/>
              <w:left w:val="single" w:sz="4" w:space="0" w:color="auto"/>
              <w:bottom w:val="single" w:sz="4" w:space="0" w:color="auto"/>
              <w:right w:val="single" w:sz="4" w:space="0" w:color="auto"/>
            </w:tcBorders>
            <w:vAlign w:val="center"/>
          </w:tcPr>
          <w:p w14:paraId="3E0A0A40" w14:textId="1DDE69D2" w:rsidR="00AA5A92" w:rsidRDefault="00AA5A92">
            <w:pPr>
              <w:jc w:val="center"/>
              <w:rPr>
                <w:rFonts w:ascii="Calibri" w:hAnsi="Calibri"/>
                <w:szCs w:val="22"/>
              </w:rPr>
            </w:pPr>
            <w:r w:rsidRPr="00683518">
              <w:rPr>
                <w:szCs w:val="20"/>
              </w:rPr>
              <w:t>8,760</w:t>
            </w:r>
          </w:p>
        </w:tc>
        <w:tc>
          <w:tcPr>
            <w:tcW w:w="884" w:type="pct"/>
            <w:tcBorders>
              <w:top w:val="single" w:sz="4" w:space="0" w:color="auto"/>
              <w:left w:val="single" w:sz="4" w:space="0" w:color="auto"/>
              <w:bottom w:val="single" w:sz="4" w:space="0" w:color="auto"/>
              <w:right w:val="single" w:sz="4" w:space="0" w:color="auto"/>
            </w:tcBorders>
          </w:tcPr>
          <w:p w14:paraId="48ABD47A" w14:textId="7C5AAF75" w:rsidR="00AA5A92" w:rsidRDefault="00AA5A92">
            <w:pPr>
              <w:jc w:val="center"/>
              <w:rPr>
                <w:szCs w:val="20"/>
              </w:rPr>
            </w:pPr>
            <w:r>
              <w:rPr>
                <w:rFonts w:ascii="Calibri" w:hAnsi="Calibri"/>
                <w:szCs w:val="22"/>
              </w:rPr>
              <w:t>WP SCE13HC040.2</w:t>
            </w:r>
          </w:p>
        </w:tc>
      </w:tr>
      <w:tr w:rsidR="00AA5A92" w:rsidRPr="000A7EB8" w14:paraId="059CB7CA" w14:textId="0303341A"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6AA93FB6" w14:textId="14C6625E"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4786D3F8" w14:textId="07E37D17" w:rsidR="00AA5A92" w:rsidRPr="000A7EB8" w:rsidRDefault="00AA5A92">
            <w:pPr>
              <w:jc w:val="center"/>
              <w:rPr>
                <w:szCs w:val="20"/>
              </w:rPr>
            </w:pPr>
            <w:r w:rsidRPr="00683518">
              <w:rPr>
                <w:szCs w:val="20"/>
              </w:rPr>
              <w:t>Manufacturing - Bio/Tech</w:t>
            </w:r>
          </w:p>
        </w:tc>
        <w:tc>
          <w:tcPr>
            <w:tcW w:w="575" w:type="pct"/>
            <w:tcBorders>
              <w:top w:val="single" w:sz="4" w:space="0" w:color="auto"/>
              <w:left w:val="single" w:sz="4" w:space="0" w:color="auto"/>
              <w:bottom w:val="single" w:sz="4" w:space="0" w:color="auto"/>
              <w:right w:val="single" w:sz="4" w:space="0" w:color="auto"/>
            </w:tcBorders>
            <w:vAlign w:val="center"/>
          </w:tcPr>
          <w:p w14:paraId="1A7EBF51" w14:textId="6A6C2EF8" w:rsidR="00AA5A92" w:rsidRPr="000A7EB8" w:rsidRDefault="00AA5A92">
            <w:pPr>
              <w:jc w:val="center"/>
              <w:rPr>
                <w:szCs w:val="20"/>
              </w:rPr>
            </w:pPr>
            <w:r>
              <w:rPr>
                <w:szCs w:val="20"/>
              </w:rPr>
              <w:t>2.7</w:t>
            </w:r>
          </w:p>
        </w:tc>
        <w:tc>
          <w:tcPr>
            <w:tcW w:w="575" w:type="pct"/>
            <w:tcBorders>
              <w:top w:val="single" w:sz="4" w:space="0" w:color="auto"/>
              <w:left w:val="single" w:sz="4" w:space="0" w:color="auto"/>
              <w:bottom w:val="single" w:sz="4" w:space="0" w:color="auto"/>
              <w:right w:val="single" w:sz="4" w:space="0" w:color="auto"/>
            </w:tcBorders>
            <w:vAlign w:val="center"/>
          </w:tcPr>
          <w:p w14:paraId="0B7E4153" w14:textId="6EA19F34" w:rsidR="00AA5A92" w:rsidRPr="000A7EB8" w:rsidRDefault="00AA5A92">
            <w:pPr>
              <w:jc w:val="center"/>
              <w:rPr>
                <w:szCs w:val="20"/>
              </w:rPr>
            </w:pPr>
            <w:r>
              <w:rPr>
                <w:szCs w:val="20"/>
              </w:rPr>
              <w:t>0.9</w:t>
            </w:r>
          </w:p>
        </w:tc>
        <w:tc>
          <w:tcPr>
            <w:tcW w:w="884" w:type="pct"/>
            <w:tcBorders>
              <w:top w:val="single" w:sz="4" w:space="0" w:color="auto"/>
              <w:left w:val="single" w:sz="4" w:space="0" w:color="auto"/>
              <w:bottom w:val="single" w:sz="4" w:space="0" w:color="auto"/>
              <w:right w:val="single" w:sz="4" w:space="0" w:color="auto"/>
            </w:tcBorders>
            <w:vAlign w:val="center"/>
          </w:tcPr>
          <w:p w14:paraId="59334E34" w14:textId="788E6F42" w:rsidR="00AA5A92" w:rsidRDefault="00AA5A92">
            <w:pPr>
              <w:jc w:val="center"/>
              <w:rPr>
                <w:rFonts w:ascii="Calibri" w:hAnsi="Calibri"/>
                <w:szCs w:val="22"/>
              </w:rPr>
            </w:pPr>
            <w:r w:rsidRPr="00683518">
              <w:rPr>
                <w:szCs w:val="20"/>
              </w:rPr>
              <w:t>3,514</w:t>
            </w:r>
          </w:p>
        </w:tc>
        <w:tc>
          <w:tcPr>
            <w:tcW w:w="884" w:type="pct"/>
            <w:tcBorders>
              <w:top w:val="single" w:sz="4" w:space="0" w:color="auto"/>
              <w:left w:val="single" w:sz="4" w:space="0" w:color="auto"/>
              <w:bottom w:val="single" w:sz="4" w:space="0" w:color="auto"/>
              <w:right w:val="single" w:sz="4" w:space="0" w:color="auto"/>
            </w:tcBorders>
          </w:tcPr>
          <w:p w14:paraId="2CF26C83" w14:textId="2237FEB6" w:rsidR="00AA5A92" w:rsidRDefault="00AA5A92">
            <w:pPr>
              <w:jc w:val="center"/>
              <w:rPr>
                <w:szCs w:val="20"/>
              </w:rPr>
            </w:pPr>
            <w:r>
              <w:rPr>
                <w:rFonts w:ascii="Calibri" w:hAnsi="Calibri"/>
                <w:szCs w:val="22"/>
              </w:rPr>
              <w:t>WP SCE13HC040.2</w:t>
            </w:r>
          </w:p>
        </w:tc>
      </w:tr>
      <w:tr w:rsidR="00AA5A92" w:rsidRPr="000A7EB8" w14:paraId="2E90EC9F" w14:textId="6B39B7BB"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6843816B" w14:textId="550539F2"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1C3BBA99" w14:textId="3D427FC5" w:rsidR="00AA5A92" w:rsidRPr="000A7EB8" w:rsidRDefault="00AA5A92">
            <w:pPr>
              <w:jc w:val="center"/>
              <w:rPr>
                <w:szCs w:val="20"/>
              </w:rPr>
            </w:pPr>
            <w:r w:rsidRPr="00683518">
              <w:rPr>
                <w:szCs w:val="20"/>
              </w:rPr>
              <w:t>Manufacturing – Light Industrial</w:t>
            </w:r>
          </w:p>
        </w:tc>
        <w:tc>
          <w:tcPr>
            <w:tcW w:w="575" w:type="pct"/>
            <w:tcBorders>
              <w:top w:val="single" w:sz="4" w:space="0" w:color="auto"/>
              <w:left w:val="single" w:sz="4" w:space="0" w:color="auto"/>
              <w:bottom w:val="single" w:sz="4" w:space="0" w:color="auto"/>
              <w:right w:val="single" w:sz="4" w:space="0" w:color="auto"/>
            </w:tcBorders>
            <w:vAlign w:val="center"/>
          </w:tcPr>
          <w:p w14:paraId="3A7251E4" w14:textId="5352D74E" w:rsidR="00AA5A92" w:rsidRPr="000A7EB8" w:rsidRDefault="00AA5A92">
            <w:pPr>
              <w:jc w:val="center"/>
              <w:rPr>
                <w:szCs w:val="20"/>
              </w:rPr>
            </w:pPr>
            <w:r>
              <w:rPr>
                <w:szCs w:val="20"/>
              </w:rPr>
              <w:t>5.0</w:t>
            </w:r>
          </w:p>
        </w:tc>
        <w:tc>
          <w:tcPr>
            <w:tcW w:w="575" w:type="pct"/>
            <w:tcBorders>
              <w:top w:val="single" w:sz="4" w:space="0" w:color="auto"/>
              <w:left w:val="single" w:sz="4" w:space="0" w:color="auto"/>
              <w:bottom w:val="single" w:sz="4" w:space="0" w:color="auto"/>
              <w:right w:val="single" w:sz="4" w:space="0" w:color="auto"/>
            </w:tcBorders>
            <w:vAlign w:val="center"/>
          </w:tcPr>
          <w:p w14:paraId="4EBC72E7" w14:textId="49657272" w:rsidR="00AA5A92" w:rsidRPr="000A7EB8" w:rsidRDefault="00AA5A92">
            <w:pPr>
              <w:jc w:val="center"/>
              <w:rPr>
                <w:szCs w:val="20"/>
              </w:rPr>
            </w:pPr>
            <w:r>
              <w:rPr>
                <w:szCs w:val="20"/>
              </w:rPr>
              <w:t>1.7</w:t>
            </w:r>
          </w:p>
        </w:tc>
        <w:tc>
          <w:tcPr>
            <w:tcW w:w="884" w:type="pct"/>
            <w:tcBorders>
              <w:top w:val="single" w:sz="4" w:space="0" w:color="auto"/>
              <w:left w:val="single" w:sz="4" w:space="0" w:color="auto"/>
              <w:bottom w:val="single" w:sz="4" w:space="0" w:color="auto"/>
              <w:right w:val="single" w:sz="4" w:space="0" w:color="auto"/>
            </w:tcBorders>
            <w:vAlign w:val="center"/>
          </w:tcPr>
          <w:p w14:paraId="1F0F5BE6" w14:textId="0B4F2C3E" w:rsidR="00AA5A92" w:rsidRDefault="00AA5A92">
            <w:pPr>
              <w:jc w:val="center"/>
              <w:rPr>
                <w:rFonts w:ascii="Calibri" w:hAnsi="Calibri"/>
                <w:szCs w:val="22"/>
              </w:rPr>
            </w:pPr>
            <w:r w:rsidRPr="00683518">
              <w:rPr>
                <w:szCs w:val="20"/>
              </w:rPr>
              <w:t>3,514</w:t>
            </w:r>
          </w:p>
        </w:tc>
        <w:tc>
          <w:tcPr>
            <w:tcW w:w="884" w:type="pct"/>
            <w:tcBorders>
              <w:top w:val="single" w:sz="4" w:space="0" w:color="auto"/>
              <w:left w:val="single" w:sz="4" w:space="0" w:color="auto"/>
              <w:bottom w:val="single" w:sz="4" w:space="0" w:color="auto"/>
              <w:right w:val="single" w:sz="4" w:space="0" w:color="auto"/>
            </w:tcBorders>
          </w:tcPr>
          <w:p w14:paraId="517FD0B7" w14:textId="204C02AD" w:rsidR="00AA5A92" w:rsidRDefault="00AA5A92" w:rsidP="00A0453B">
            <w:pPr>
              <w:jc w:val="center"/>
              <w:rPr>
                <w:rFonts w:ascii="Calibri" w:hAnsi="Calibri"/>
                <w:szCs w:val="22"/>
              </w:rPr>
            </w:pPr>
            <w:r>
              <w:rPr>
                <w:rFonts w:ascii="Calibri" w:hAnsi="Calibri"/>
                <w:szCs w:val="22"/>
              </w:rPr>
              <w:t>READi Tool</w:t>
            </w:r>
          </w:p>
          <w:p w14:paraId="204A5F1F" w14:textId="2F76EB87" w:rsidR="00AA5A92" w:rsidRDefault="00AA5A92">
            <w:pPr>
              <w:jc w:val="center"/>
              <w:rPr>
                <w:szCs w:val="20"/>
              </w:rPr>
            </w:pPr>
            <w:r>
              <w:rPr>
                <w:rFonts w:ascii="Calibri" w:hAnsi="Calibri"/>
                <w:szCs w:val="22"/>
              </w:rPr>
              <w:t>2.4.7</w:t>
            </w:r>
          </w:p>
        </w:tc>
      </w:tr>
      <w:tr w:rsidR="00AA5A92" w:rsidRPr="000A7EB8" w14:paraId="44CD1A72" w14:textId="554E471E"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7A88E189" w14:textId="2FDE3F50"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738235A2" w14:textId="372BCF17" w:rsidR="00AA5A92" w:rsidRPr="000A7EB8" w:rsidRDefault="00AA5A92">
            <w:pPr>
              <w:jc w:val="center"/>
              <w:rPr>
                <w:szCs w:val="20"/>
              </w:rPr>
            </w:pPr>
            <w:r w:rsidRPr="00683518">
              <w:rPr>
                <w:szCs w:val="20"/>
              </w:rPr>
              <w:t>Health/Medical – Nursing Home*</w:t>
            </w:r>
          </w:p>
        </w:tc>
        <w:tc>
          <w:tcPr>
            <w:tcW w:w="575" w:type="pct"/>
            <w:tcBorders>
              <w:top w:val="single" w:sz="4" w:space="0" w:color="auto"/>
              <w:left w:val="single" w:sz="4" w:space="0" w:color="auto"/>
              <w:bottom w:val="single" w:sz="4" w:space="0" w:color="auto"/>
              <w:right w:val="single" w:sz="4" w:space="0" w:color="auto"/>
            </w:tcBorders>
            <w:vAlign w:val="center"/>
          </w:tcPr>
          <w:p w14:paraId="6550771E" w14:textId="153121AB" w:rsidR="00AA5A92" w:rsidRPr="000A7EB8" w:rsidRDefault="00AA5A92">
            <w:pPr>
              <w:jc w:val="center"/>
              <w:rPr>
                <w:szCs w:val="20"/>
              </w:rPr>
            </w:pPr>
            <w:r w:rsidRPr="00683518">
              <w:rPr>
                <w:szCs w:val="20"/>
              </w:rPr>
              <w:t>2.7</w:t>
            </w:r>
          </w:p>
        </w:tc>
        <w:tc>
          <w:tcPr>
            <w:tcW w:w="575" w:type="pct"/>
            <w:tcBorders>
              <w:top w:val="single" w:sz="4" w:space="0" w:color="auto"/>
              <w:left w:val="single" w:sz="4" w:space="0" w:color="auto"/>
              <w:bottom w:val="single" w:sz="4" w:space="0" w:color="auto"/>
              <w:right w:val="single" w:sz="4" w:space="0" w:color="auto"/>
            </w:tcBorders>
            <w:vAlign w:val="center"/>
          </w:tcPr>
          <w:p w14:paraId="5AF6B00F" w14:textId="78E7F3CD" w:rsidR="00AA5A92" w:rsidRPr="000A7EB8" w:rsidRDefault="00AA5A92">
            <w:pPr>
              <w:jc w:val="center"/>
              <w:rPr>
                <w:szCs w:val="20"/>
              </w:rPr>
            </w:pPr>
            <w:r>
              <w:rPr>
                <w:szCs w:val="20"/>
              </w:rPr>
              <w:t>0.9</w:t>
            </w:r>
          </w:p>
        </w:tc>
        <w:tc>
          <w:tcPr>
            <w:tcW w:w="884" w:type="pct"/>
            <w:tcBorders>
              <w:top w:val="single" w:sz="4" w:space="0" w:color="auto"/>
              <w:left w:val="single" w:sz="4" w:space="0" w:color="auto"/>
              <w:bottom w:val="single" w:sz="4" w:space="0" w:color="auto"/>
              <w:right w:val="single" w:sz="4" w:space="0" w:color="auto"/>
            </w:tcBorders>
            <w:vAlign w:val="center"/>
          </w:tcPr>
          <w:p w14:paraId="70461C35" w14:textId="5FF051D3" w:rsidR="00AA5A92" w:rsidRDefault="00AA5A92">
            <w:pPr>
              <w:jc w:val="center"/>
              <w:rPr>
                <w:rFonts w:ascii="Calibri" w:hAnsi="Calibri"/>
                <w:szCs w:val="22"/>
              </w:rPr>
            </w:pPr>
            <w:r w:rsidRPr="00683518">
              <w:rPr>
                <w:szCs w:val="20"/>
              </w:rPr>
              <w:t>8,760</w:t>
            </w:r>
          </w:p>
        </w:tc>
        <w:tc>
          <w:tcPr>
            <w:tcW w:w="884" w:type="pct"/>
            <w:tcBorders>
              <w:top w:val="single" w:sz="4" w:space="0" w:color="auto"/>
              <w:left w:val="single" w:sz="4" w:space="0" w:color="auto"/>
              <w:bottom w:val="single" w:sz="4" w:space="0" w:color="auto"/>
              <w:right w:val="single" w:sz="4" w:space="0" w:color="auto"/>
            </w:tcBorders>
          </w:tcPr>
          <w:p w14:paraId="3F626C51" w14:textId="0BB66B7C" w:rsidR="00AA5A92" w:rsidRDefault="00AA5A92" w:rsidP="00A0453B">
            <w:pPr>
              <w:jc w:val="center"/>
              <w:rPr>
                <w:rFonts w:ascii="Calibri" w:hAnsi="Calibri"/>
                <w:szCs w:val="22"/>
              </w:rPr>
            </w:pPr>
            <w:r>
              <w:rPr>
                <w:rFonts w:ascii="Calibri" w:hAnsi="Calibri"/>
                <w:szCs w:val="22"/>
              </w:rPr>
              <w:t>READi Tool</w:t>
            </w:r>
          </w:p>
          <w:p w14:paraId="370B2FF4" w14:textId="3DE22496" w:rsidR="00AA5A92" w:rsidRDefault="00AA5A92">
            <w:pPr>
              <w:jc w:val="center"/>
              <w:rPr>
                <w:szCs w:val="20"/>
              </w:rPr>
            </w:pPr>
            <w:r>
              <w:rPr>
                <w:rFonts w:ascii="Calibri" w:hAnsi="Calibri"/>
                <w:szCs w:val="22"/>
              </w:rPr>
              <w:t>2.4.7</w:t>
            </w:r>
          </w:p>
        </w:tc>
      </w:tr>
      <w:tr w:rsidR="00AA5A92" w:rsidRPr="000A7EB8" w14:paraId="1CF0E56E" w14:textId="433B6641"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0B7C6FF1" w14:textId="0739A375"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7FC5C015" w14:textId="26B47502" w:rsidR="00AA5A92" w:rsidRPr="000A7EB8" w:rsidRDefault="00AA5A92">
            <w:pPr>
              <w:jc w:val="center"/>
              <w:rPr>
                <w:szCs w:val="20"/>
              </w:rPr>
            </w:pPr>
            <w:r w:rsidRPr="00683518">
              <w:rPr>
                <w:szCs w:val="20"/>
              </w:rPr>
              <w:t>Office – Large*</w:t>
            </w:r>
          </w:p>
        </w:tc>
        <w:tc>
          <w:tcPr>
            <w:tcW w:w="575" w:type="pct"/>
            <w:tcBorders>
              <w:top w:val="single" w:sz="4" w:space="0" w:color="auto"/>
              <w:left w:val="single" w:sz="4" w:space="0" w:color="auto"/>
              <w:bottom w:val="single" w:sz="4" w:space="0" w:color="auto"/>
              <w:right w:val="single" w:sz="4" w:space="0" w:color="auto"/>
            </w:tcBorders>
            <w:vAlign w:val="center"/>
          </w:tcPr>
          <w:p w14:paraId="6066F3EB" w14:textId="18E564C1" w:rsidR="00AA5A92" w:rsidRPr="000A7EB8" w:rsidRDefault="00AA5A92">
            <w:pPr>
              <w:jc w:val="center"/>
              <w:rPr>
                <w:szCs w:val="20"/>
              </w:rPr>
            </w:pPr>
            <w:r>
              <w:rPr>
                <w:szCs w:val="20"/>
              </w:rPr>
              <w:t>5.0</w:t>
            </w:r>
          </w:p>
        </w:tc>
        <w:tc>
          <w:tcPr>
            <w:tcW w:w="575" w:type="pct"/>
            <w:tcBorders>
              <w:top w:val="single" w:sz="4" w:space="0" w:color="auto"/>
              <w:left w:val="single" w:sz="4" w:space="0" w:color="auto"/>
              <w:bottom w:val="single" w:sz="4" w:space="0" w:color="auto"/>
              <w:right w:val="single" w:sz="4" w:space="0" w:color="auto"/>
            </w:tcBorders>
            <w:vAlign w:val="center"/>
          </w:tcPr>
          <w:p w14:paraId="68A855CF" w14:textId="7580FB07" w:rsidR="00AA5A92" w:rsidRPr="000A7EB8" w:rsidRDefault="00AA5A92">
            <w:pPr>
              <w:jc w:val="center"/>
              <w:rPr>
                <w:szCs w:val="20"/>
              </w:rPr>
            </w:pPr>
            <w:r>
              <w:rPr>
                <w:szCs w:val="20"/>
              </w:rPr>
              <w:t>1.7</w:t>
            </w:r>
          </w:p>
        </w:tc>
        <w:tc>
          <w:tcPr>
            <w:tcW w:w="884" w:type="pct"/>
            <w:tcBorders>
              <w:top w:val="single" w:sz="4" w:space="0" w:color="auto"/>
              <w:left w:val="single" w:sz="4" w:space="0" w:color="auto"/>
              <w:bottom w:val="single" w:sz="4" w:space="0" w:color="auto"/>
              <w:right w:val="single" w:sz="4" w:space="0" w:color="auto"/>
            </w:tcBorders>
            <w:vAlign w:val="center"/>
          </w:tcPr>
          <w:p w14:paraId="57890DAB" w14:textId="217FEBCA" w:rsidR="00AA5A92" w:rsidRDefault="00AA5A92">
            <w:pPr>
              <w:jc w:val="center"/>
              <w:rPr>
                <w:rFonts w:ascii="Calibri" w:hAnsi="Calibri"/>
                <w:szCs w:val="22"/>
              </w:rPr>
            </w:pPr>
            <w:r w:rsidRPr="00683518">
              <w:rPr>
                <w:szCs w:val="20"/>
              </w:rPr>
              <w:t>3,974</w:t>
            </w:r>
          </w:p>
        </w:tc>
        <w:tc>
          <w:tcPr>
            <w:tcW w:w="884" w:type="pct"/>
            <w:tcBorders>
              <w:top w:val="single" w:sz="4" w:space="0" w:color="auto"/>
              <w:left w:val="single" w:sz="4" w:space="0" w:color="auto"/>
              <w:bottom w:val="single" w:sz="4" w:space="0" w:color="auto"/>
              <w:right w:val="single" w:sz="4" w:space="0" w:color="auto"/>
            </w:tcBorders>
          </w:tcPr>
          <w:p w14:paraId="27A26975" w14:textId="4CB504E1" w:rsidR="00AA5A92" w:rsidRDefault="00AA5A92" w:rsidP="00A0453B">
            <w:pPr>
              <w:jc w:val="center"/>
              <w:rPr>
                <w:rFonts w:ascii="Calibri" w:hAnsi="Calibri"/>
                <w:szCs w:val="22"/>
              </w:rPr>
            </w:pPr>
            <w:r>
              <w:rPr>
                <w:rFonts w:ascii="Calibri" w:hAnsi="Calibri"/>
                <w:szCs w:val="22"/>
              </w:rPr>
              <w:t>READi Tool</w:t>
            </w:r>
          </w:p>
          <w:p w14:paraId="58CE9172" w14:textId="1CB4749D" w:rsidR="00AA5A92" w:rsidRDefault="00AA5A92">
            <w:pPr>
              <w:jc w:val="center"/>
              <w:rPr>
                <w:szCs w:val="20"/>
              </w:rPr>
            </w:pPr>
            <w:r>
              <w:rPr>
                <w:rFonts w:ascii="Calibri" w:hAnsi="Calibri"/>
                <w:szCs w:val="22"/>
              </w:rPr>
              <w:t>2.4.7</w:t>
            </w:r>
          </w:p>
        </w:tc>
      </w:tr>
      <w:tr w:rsidR="00AA5A92" w:rsidRPr="006D66FD" w14:paraId="154B9AC4" w14:textId="07AEA759"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32CD5B2A" w14:textId="63EDDEA1" w:rsidR="00AA5A92" w:rsidRPr="006D66FD"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61F35DEE" w14:textId="73F9846C" w:rsidR="00AA5A92" w:rsidRPr="006D66FD" w:rsidRDefault="00AA5A92">
            <w:pPr>
              <w:jc w:val="center"/>
              <w:rPr>
                <w:szCs w:val="20"/>
              </w:rPr>
            </w:pPr>
            <w:r w:rsidRPr="00683518">
              <w:rPr>
                <w:szCs w:val="20"/>
              </w:rPr>
              <w:t>Office – Small</w:t>
            </w:r>
          </w:p>
        </w:tc>
        <w:tc>
          <w:tcPr>
            <w:tcW w:w="575" w:type="pct"/>
            <w:tcBorders>
              <w:top w:val="single" w:sz="4" w:space="0" w:color="auto"/>
              <w:left w:val="single" w:sz="4" w:space="0" w:color="auto"/>
              <w:bottom w:val="single" w:sz="4" w:space="0" w:color="auto"/>
              <w:right w:val="single" w:sz="4" w:space="0" w:color="auto"/>
            </w:tcBorders>
            <w:vAlign w:val="center"/>
          </w:tcPr>
          <w:p w14:paraId="50675F82" w14:textId="33570C77" w:rsidR="00AA5A92" w:rsidRPr="006D66FD" w:rsidRDefault="00AA5A92">
            <w:pPr>
              <w:jc w:val="center"/>
              <w:rPr>
                <w:szCs w:val="20"/>
              </w:rPr>
            </w:pPr>
            <w:r>
              <w:rPr>
                <w:szCs w:val="20"/>
              </w:rPr>
              <w:t>5.0</w:t>
            </w:r>
          </w:p>
        </w:tc>
        <w:tc>
          <w:tcPr>
            <w:tcW w:w="575" w:type="pct"/>
            <w:tcBorders>
              <w:top w:val="single" w:sz="4" w:space="0" w:color="auto"/>
              <w:left w:val="single" w:sz="4" w:space="0" w:color="auto"/>
              <w:bottom w:val="single" w:sz="4" w:space="0" w:color="auto"/>
              <w:right w:val="single" w:sz="4" w:space="0" w:color="auto"/>
            </w:tcBorders>
            <w:vAlign w:val="center"/>
          </w:tcPr>
          <w:p w14:paraId="28C7D538" w14:textId="702B299C" w:rsidR="00AA5A92" w:rsidRPr="006D66FD" w:rsidRDefault="00AA5A92">
            <w:pPr>
              <w:jc w:val="center"/>
              <w:rPr>
                <w:szCs w:val="20"/>
              </w:rPr>
            </w:pPr>
            <w:r>
              <w:rPr>
                <w:szCs w:val="20"/>
              </w:rPr>
              <w:t>1.7</w:t>
            </w:r>
          </w:p>
        </w:tc>
        <w:tc>
          <w:tcPr>
            <w:tcW w:w="884" w:type="pct"/>
            <w:tcBorders>
              <w:top w:val="single" w:sz="4" w:space="0" w:color="auto"/>
              <w:left w:val="single" w:sz="4" w:space="0" w:color="auto"/>
              <w:bottom w:val="single" w:sz="4" w:space="0" w:color="auto"/>
              <w:right w:val="single" w:sz="4" w:space="0" w:color="auto"/>
            </w:tcBorders>
            <w:vAlign w:val="center"/>
          </w:tcPr>
          <w:p w14:paraId="4CA8DE45" w14:textId="43855995" w:rsidR="00AA5A92" w:rsidRDefault="00AA5A92">
            <w:pPr>
              <w:jc w:val="center"/>
              <w:rPr>
                <w:rFonts w:ascii="Calibri" w:hAnsi="Calibri"/>
                <w:szCs w:val="22"/>
              </w:rPr>
            </w:pPr>
            <w:r w:rsidRPr="00683518">
              <w:rPr>
                <w:szCs w:val="20"/>
              </w:rPr>
              <w:t>3,371</w:t>
            </w:r>
          </w:p>
        </w:tc>
        <w:tc>
          <w:tcPr>
            <w:tcW w:w="884" w:type="pct"/>
            <w:tcBorders>
              <w:top w:val="single" w:sz="4" w:space="0" w:color="auto"/>
              <w:left w:val="single" w:sz="4" w:space="0" w:color="auto"/>
              <w:bottom w:val="single" w:sz="4" w:space="0" w:color="auto"/>
              <w:right w:val="single" w:sz="4" w:space="0" w:color="auto"/>
            </w:tcBorders>
          </w:tcPr>
          <w:p w14:paraId="51EA6CF9" w14:textId="3FDE4278" w:rsidR="00AA5A92" w:rsidRDefault="00AA5A92" w:rsidP="00A0453B">
            <w:pPr>
              <w:jc w:val="center"/>
              <w:rPr>
                <w:rFonts w:ascii="Calibri" w:hAnsi="Calibri"/>
                <w:szCs w:val="22"/>
              </w:rPr>
            </w:pPr>
            <w:r>
              <w:rPr>
                <w:rFonts w:ascii="Calibri" w:hAnsi="Calibri"/>
                <w:szCs w:val="22"/>
              </w:rPr>
              <w:t>READi Tool</w:t>
            </w:r>
          </w:p>
          <w:p w14:paraId="5256A825" w14:textId="2963604E" w:rsidR="00AA5A92" w:rsidRDefault="00AA5A92">
            <w:pPr>
              <w:jc w:val="center"/>
              <w:rPr>
                <w:szCs w:val="20"/>
              </w:rPr>
            </w:pPr>
            <w:r>
              <w:rPr>
                <w:rFonts w:ascii="Calibri" w:hAnsi="Calibri"/>
                <w:szCs w:val="22"/>
              </w:rPr>
              <w:t>2.4.7</w:t>
            </w:r>
          </w:p>
        </w:tc>
      </w:tr>
      <w:tr w:rsidR="00AA5A92" w:rsidRPr="006D66FD" w14:paraId="1D25CA20" w14:textId="617D70BA"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57B7E8C6" w14:textId="3434DE88" w:rsidR="00AA5A92" w:rsidRPr="006D66FD"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52DB2A1B" w14:textId="465A1400" w:rsidR="00AA5A92" w:rsidRPr="006D66FD" w:rsidRDefault="00AA5A92">
            <w:pPr>
              <w:jc w:val="center"/>
              <w:rPr>
                <w:szCs w:val="20"/>
              </w:rPr>
            </w:pPr>
            <w:r w:rsidRPr="00683518">
              <w:rPr>
                <w:szCs w:val="20"/>
              </w:rPr>
              <w:t>Restaurant - Fast-Food</w:t>
            </w:r>
          </w:p>
        </w:tc>
        <w:tc>
          <w:tcPr>
            <w:tcW w:w="575" w:type="pct"/>
            <w:tcBorders>
              <w:top w:val="single" w:sz="4" w:space="0" w:color="auto"/>
              <w:left w:val="single" w:sz="4" w:space="0" w:color="auto"/>
              <w:bottom w:val="single" w:sz="4" w:space="0" w:color="auto"/>
              <w:right w:val="single" w:sz="4" w:space="0" w:color="auto"/>
            </w:tcBorders>
            <w:vAlign w:val="center"/>
          </w:tcPr>
          <w:p w14:paraId="3CEB36C9" w14:textId="2D860E98" w:rsidR="00AA5A92" w:rsidRPr="006D66FD" w:rsidRDefault="00AA5A92">
            <w:pPr>
              <w:jc w:val="center"/>
              <w:rPr>
                <w:szCs w:val="20"/>
              </w:rPr>
            </w:pPr>
            <w:r w:rsidRPr="00683518">
              <w:rPr>
                <w:szCs w:val="20"/>
              </w:rPr>
              <w:t>3.5</w:t>
            </w:r>
          </w:p>
        </w:tc>
        <w:tc>
          <w:tcPr>
            <w:tcW w:w="575" w:type="pct"/>
            <w:tcBorders>
              <w:top w:val="single" w:sz="4" w:space="0" w:color="auto"/>
              <w:left w:val="single" w:sz="4" w:space="0" w:color="auto"/>
              <w:bottom w:val="single" w:sz="4" w:space="0" w:color="auto"/>
              <w:right w:val="single" w:sz="4" w:space="0" w:color="auto"/>
            </w:tcBorders>
            <w:vAlign w:val="center"/>
          </w:tcPr>
          <w:p w14:paraId="26A182DB" w14:textId="2956710B" w:rsidR="00AA5A92" w:rsidRPr="006D66FD" w:rsidRDefault="00AA5A92">
            <w:pPr>
              <w:jc w:val="center"/>
              <w:rPr>
                <w:szCs w:val="20"/>
              </w:rPr>
            </w:pPr>
            <w:r>
              <w:rPr>
                <w:szCs w:val="20"/>
              </w:rPr>
              <w:t>1.2</w:t>
            </w:r>
          </w:p>
        </w:tc>
        <w:tc>
          <w:tcPr>
            <w:tcW w:w="884" w:type="pct"/>
            <w:tcBorders>
              <w:top w:val="single" w:sz="4" w:space="0" w:color="auto"/>
              <w:left w:val="single" w:sz="4" w:space="0" w:color="auto"/>
              <w:bottom w:val="single" w:sz="4" w:space="0" w:color="auto"/>
              <w:right w:val="single" w:sz="4" w:space="0" w:color="auto"/>
            </w:tcBorders>
            <w:vAlign w:val="center"/>
          </w:tcPr>
          <w:p w14:paraId="60CB4460" w14:textId="6DCA819E" w:rsidR="00AA5A92" w:rsidRDefault="00AA5A92">
            <w:pPr>
              <w:jc w:val="center"/>
              <w:rPr>
                <w:rFonts w:ascii="Calibri" w:hAnsi="Calibri"/>
                <w:szCs w:val="22"/>
              </w:rPr>
            </w:pPr>
            <w:r w:rsidRPr="00683518">
              <w:rPr>
                <w:szCs w:val="20"/>
              </w:rPr>
              <w:t>6,935</w:t>
            </w:r>
          </w:p>
        </w:tc>
        <w:tc>
          <w:tcPr>
            <w:tcW w:w="884" w:type="pct"/>
            <w:tcBorders>
              <w:top w:val="single" w:sz="4" w:space="0" w:color="auto"/>
              <w:left w:val="single" w:sz="4" w:space="0" w:color="auto"/>
              <w:bottom w:val="single" w:sz="4" w:space="0" w:color="auto"/>
              <w:right w:val="single" w:sz="4" w:space="0" w:color="auto"/>
            </w:tcBorders>
          </w:tcPr>
          <w:p w14:paraId="64724DA0" w14:textId="0563CD65" w:rsidR="00AA5A92" w:rsidRDefault="00AA5A92" w:rsidP="00A0453B">
            <w:pPr>
              <w:jc w:val="center"/>
              <w:rPr>
                <w:rFonts w:ascii="Calibri" w:hAnsi="Calibri"/>
                <w:szCs w:val="22"/>
              </w:rPr>
            </w:pPr>
            <w:r>
              <w:rPr>
                <w:rFonts w:ascii="Calibri" w:hAnsi="Calibri"/>
                <w:szCs w:val="22"/>
              </w:rPr>
              <w:t>READi Tool</w:t>
            </w:r>
          </w:p>
          <w:p w14:paraId="245A6EE2" w14:textId="1018E34C" w:rsidR="00AA5A92" w:rsidRDefault="00AA5A92">
            <w:pPr>
              <w:jc w:val="center"/>
              <w:rPr>
                <w:szCs w:val="20"/>
              </w:rPr>
            </w:pPr>
            <w:r>
              <w:rPr>
                <w:rFonts w:ascii="Calibri" w:hAnsi="Calibri"/>
                <w:szCs w:val="22"/>
              </w:rPr>
              <w:t>2.4.7</w:t>
            </w:r>
          </w:p>
        </w:tc>
      </w:tr>
      <w:tr w:rsidR="00AA5A92" w:rsidRPr="000A7EB8" w14:paraId="1615D7E1" w14:textId="3C5C8960"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684B7273" w14:textId="62D63F3E"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753A8AF0" w14:textId="08BE2C14" w:rsidR="00AA5A92" w:rsidRPr="000A7EB8" w:rsidRDefault="00AA5A92">
            <w:pPr>
              <w:jc w:val="center"/>
              <w:rPr>
                <w:szCs w:val="20"/>
              </w:rPr>
            </w:pPr>
            <w:r w:rsidRPr="00683518">
              <w:rPr>
                <w:szCs w:val="20"/>
              </w:rPr>
              <w:t>Restaurant - Sit-Down</w:t>
            </w:r>
          </w:p>
        </w:tc>
        <w:tc>
          <w:tcPr>
            <w:tcW w:w="575" w:type="pct"/>
            <w:tcBorders>
              <w:top w:val="single" w:sz="4" w:space="0" w:color="auto"/>
              <w:left w:val="single" w:sz="4" w:space="0" w:color="auto"/>
              <w:bottom w:val="single" w:sz="4" w:space="0" w:color="auto"/>
              <w:right w:val="single" w:sz="4" w:space="0" w:color="auto"/>
            </w:tcBorders>
            <w:vAlign w:val="center"/>
          </w:tcPr>
          <w:p w14:paraId="61F10934" w14:textId="0AEA9D23" w:rsidR="00AA5A92" w:rsidRPr="000A7EB8" w:rsidRDefault="00AA5A92">
            <w:pPr>
              <w:jc w:val="center"/>
              <w:rPr>
                <w:szCs w:val="20"/>
              </w:rPr>
            </w:pPr>
            <w:r w:rsidRPr="00683518">
              <w:rPr>
                <w:szCs w:val="20"/>
              </w:rPr>
              <w:t>4.7</w:t>
            </w:r>
          </w:p>
        </w:tc>
        <w:tc>
          <w:tcPr>
            <w:tcW w:w="575" w:type="pct"/>
            <w:tcBorders>
              <w:top w:val="single" w:sz="4" w:space="0" w:color="auto"/>
              <w:left w:val="single" w:sz="4" w:space="0" w:color="auto"/>
              <w:bottom w:val="single" w:sz="4" w:space="0" w:color="auto"/>
              <w:right w:val="single" w:sz="4" w:space="0" w:color="auto"/>
            </w:tcBorders>
            <w:vAlign w:val="center"/>
          </w:tcPr>
          <w:p w14:paraId="76FAFF02" w14:textId="743B82CB" w:rsidR="00AA5A92" w:rsidRPr="000A7EB8" w:rsidRDefault="00AA5A92">
            <w:pPr>
              <w:jc w:val="center"/>
              <w:rPr>
                <w:szCs w:val="20"/>
              </w:rPr>
            </w:pPr>
            <w:r>
              <w:rPr>
                <w:szCs w:val="20"/>
              </w:rPr>
              <w:t>1.6</w:t>
            </w:r>
          </w:p>
        </w:tc>
        <w:tc>
          <w:tcPr>
            <w:tcW w:w="884" w:type="pct"/>
            <w:tcBorders>
              <w:top w:val="single" w:sz="4" w:space="0" w:color="auto"/>
              <w:left w:val="single" w:sz="4" w:space="0" w:color="auto"/>
              <w:bottom w:val="single" w:sz="4" w:space="0" w:color="auto"/>
              <w:right w:val="single" w:sz="4" w:space="0" w:color="auto"/>
            </w:tcBorders>
            <w:vAlign w:val="center"/>
          </w:tcPr>
          <w:p w14:paraId="4F61E461" w14:textId="0CDB7819" w:rsidR="00AA5A92" w:rsidRDefault="00AA5A92">
            <w:pPr>
              <w:jc w:val="center"/>
              <w:rPr>
                <w:rFonts w:ascii="Calibri" w:hAnsi="Calibri"/>
                <w:szCs w:val="22"/>
              </w:rPr>
            </w:pPr>
            <w:r w:rsidRPr="00683518">
              <w:rPr>
                <w:szCs w:val="20"/>
              </w:rPr>
              <w:t>5,110</w:t>
            </w:r>
          </w:p>
        </w:tc>
        <w:tc>
          <w:tcPr>
            <w:tcW w:w="884" w:type="pct"/>
            <w:tcBorders>
              <w:top w:val="single" w:sz="4" w:space="0" w:color="auto"/>
              <w:left w:val="single" w:sz="4" w:space="0" w:color="auto"/>
              <w:bottom w:val="single" w:sz="4" w:space="0" w:color="auto"/>
              <w:right w:val="single" w:sz="4" w:space="0" w:color="auto"/>
            </w:tcBorders>
          </w:tcPr>
          <w:p w14:paraId="25D48ADD" w14:textId="710B08EA" w:rsidR="00AA5A92" w:rsidRDefault="00AA5A92" w:rsidP="00A0453B">
            <w:pPr>
              <w:jc w:val="center"/>
              <w:rPr>
                <w:rFonts w:ascii="Calibri" w:hAnsi="Calibri"/>
                <w:szCs w:val="22"/>
              </w:rPr>
            </w:pPr>
            <w:r>
              <w:rPr>
                <w:rFonts w:ascii="Calibri" w:hAnsi="Calibri"/>
                <w:szCs w:val="22"/>
              </w:rPr>
              <w:t>READi Tool</w:t>
            </w:r>
          </w:p>
          <w:p w14:paraId="450F0755" w14:textId="65E01939" w:rsidR="00AA5A92" w:rsidRDefault="00AA5A92">
            <w:pPr>
              <w:jc w:val="center"/>
              <w:rPr>
                <w:szCs w:val="20"/>
              </w:rPr>
            </w:pPr>
            <w:r>
              <w:rPr>
                <w:rFonts w:ascii="Calibri" w:hAnsi="Calibri"/>
                <w:szCs w:val="22"/>
              </w:rPr>
              <w:t>2.4.7</w:t>
            </w:r>
          </w:p>
        </w:tc>
      </w:tr>
      <w:tr w:rsidR="00AA5A92" w:rsidRPr="000A7EB8" w14:paraId="07EF17BE" w14:textId="6C993173"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5F0798CB" w14:textId="4E55C3A7"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32A9A61D" w14:textId="02ADBA36" w:rsidR="00AA5A92" w:rsidRPr="000A7EB8" w:rsidRDefault="00AA5A92">
            <w:pPr>
              <w:jc w:val="center"/>
              <w:rPr>
                <w:szCs w:val="20"/>
              </w:rPr>
            </w:pPr>
            <w:r w:rsidRPr="00683518">
              <w:rPr>
                <w:szCs w:val="20"/>
              </w:rPr>
              <w:t>Retail - Multistory Large*</w:t>
            </w:r>
          </w:p>
        </w:tc>
        <w:tc>
          <w:tcPr>
            <w:tcW w:w="575" w:type="pct"/>
            <w:tcBorders>
              <w:top w:val="single" w:sz="4" w:space="0" w:color="auto"/>
              <w:left w:val="single" w:sz="4" w:space="0" w:color="auto"/>
              <w:bottom w:val="single" w:sz="4" w:space="0" w:color="auto"/>
              <w:right w:val="single" w:sz="4" w:space="0" w:color="auto"/>
            </w:tcBorders>
            <w:vAlign w:val="center"/>
          </w:tcPr>
          <w:p w14:paraId="31566ACC" w14:textId="659AF8DE" w:rsidR="00AA5A92" w:rsidRPr="000A7EB8" w:rsidRDefault="00AA5A92">
            <w:pPr>
              <w:jc w:val="center"/>
              <w:rPr>
                <w:szCs w:val="20"/>
              </w:rPr>
            </w:pPr>
            <w:r w:rsidRPr="00683518">
              <w:rPr>
                <w:szCs w:val="20"/>
              </w:rPr>
              <w:t>5.</w:t>
            </w:r>
            <w:r>
              <w:rPr>
                <w:szCs w:val="20"/>
              </w:rPr>
              <w:t>0</w:t>
            </w:r>
          </w:p>
        </w:tc>
        <w:tc>
          <w:tcPr>
            <w:tcW w:w="575" w:type="pct"/>
            <w:tcBorders>
              <w:top w:val="single" w:sz="4" w:space="0" w:color="auto"/>
              <w:left w:val="single" w:sz="4" w:space="0" w:color="auto"/>
              <w:bottom w:val="single" w:sz="4" w:space="0" w:color="auto"/>
              <w:right w:val="single" w:sz="4" w:space="0" w:color="auto"/>
            </w:tcBorders>
            <w:vAlign w:val="center"/>
          </w:tcPr>
          <w:p w14:paraId="5B4BD9CB" w14:textId="2A1590BF" w:rsidR="00AA5A92" w:rsidRPr="000A7EB8" w:rsidRDefault="00AA5A92">
            <w:pPr>
              <w:jc w:val="center"/>
              <w:rPr>
                <w:szCs w:val="20"/>
              </w:rPr>
            </w:pPr>
            <w:r>
              <w:rPr>
                <w:szCs w:val="20"/>
              </w:rPr>
              <w:t>1.7</w:t>
            </w:r>
          </w:p>
        </w:tc>
        <w:tc>
          <w:tcPr>
            <w:tcW w:w="884" w:type="pct"/>
            <w:tcBorders>
              <w:top w:val="single" w:sz="4" w:space="0" w:color="auto"/>
              <w:left w:val="single" w:sz="4" w:space="0" w:color="auto"/>
              <w:bottom w:val="single" w:sz="4" w:space="0" w:color="auto"/>
              <w:right w:val="single" w:sz="4" w:space="0" w:color="auto"/>
            </w:tcBorders>
            <w:vAlign w:val="center"/>
          </w:tcPr>
          <w:p w14:paraId="3B93F88A" w14:textId="5A9B078F" w:rsidR="00AA5A92" w:rsidRDefault="00AA5A92">
            <w:pPr>
              <w:jc w:val="center"/>
              <w:rPr>
                <w:rFonts w:ascii="Calibri" w:hAnsi="Calibri"/>
                <w:szCs w:val="22"/>
              </w:rPr>
            </w:pPr>
            <w:r w:rsidRPr="00683518">
              <w:rPr>
                <w:szCs w:val="20"/>
              </w:rPr>
              <w:t>4,482</w:t>
            </w:r>
          </w:p>
        </w:tc>
        <w:tc>
          <w:tcPr>
            <w:tcW w:w="884" w:type="pct"/>
            <w:tcBorders>
              <w:top w:val="single" w:sz="4" w:space="0" w:color="auto"/>
              <w:left w:val="single" w:sz="4" w:space="0" w:color="auto"/>
              <w:bottom w:val="single" w:sz="4" w:space="0" w:color="auto"/>
              <w:right w:val="single" w:sz="4" w:space="0" w:color="auto"/>
            </w:tcBorders>
          </w:tcPr>
          <w:p w14:paraId="613490D9" w14:textId="79834250" w:rsidR="00AA5A92" w:rsidRDefault="00AA5A92" w:rsidP="00A0453B">
            <w:pPr>
              <w:jc w:val="center"/>
              <w:rPr>
                <w:rFonts w:ascii="Calibri" w:hAnsi="Calibri"/>
                <w:szCs w:val="22"/>
              </w:rPr>
            </w:pPr>
            <w:r>
              <w:rPr>
                <w:rFonts w:ascii="Calibri" w:hAnsi="Calibri"/>
                <w:szCs w:val="22"/>
              </w:rPr>
              <w:t>READi Tool</w:t>
            </w:r>
          </w:p>
          <w:p w14:paraId="4C0B065B" w14:textId="38A5B950" w:rsidR="00AA5A92" w:rsidRDefault="00AA5A92">
            <w:pPr>
              <w:jc w:val="center"/>
              <w:rPr>
                <w:szCs w:val="20"/>
              </w:rPr>
            </w:pPr>
            <w:r>
              <w:rPr>
                <w:rFonts w:ascii="Calibri" w:hAnsi="Calibri"/>
                <w:szCs w:val="22"/>
              </w:rPr>
              <w:t>2.4.7</w:t>
            </w:r>
          </w:p>
        </w:tc>
      </w:tr>
      <w:tr w:rsidR="00AA5A92" w:rsidRPr="000A7EB8" w14:paraId="4563F1E3" w14:textId="5DFFBB61"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7A6E8313" w14:textId="5F7DB083"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244D1531" w14:textId="5DCD4CE8" w:rsidR="00AA5A92" w:rsidRPr="000A7EB8" w:rsidRDefault="00AA5A92">
            <w:pPr>
              <w:jc w:val="center"/>
              <w:rPr>
                <w:szCs w:val="20"/>
              </w:rPr>
            </w:pPr>
            <w:r w:rsidRPr="00683518">
              <w:rPr>
                <w:szCs w:val="20"/>
              </w:rPr>
              <w:t>Retail - Single-Story Large</w:t>
            </w:r>
          </w:p>
        </w:tc>
        <w:tc>
          <w:tcPr>
            <w:tcW w:w="575" w:type="pct"/>
            <w:tcBorders>
              <w:top w:val="single" w:sz="4" w:space="0" w:color="auto"/>
              <w:left w:val="single" w:sz="4" w:space="0" w:color="auto"/>
              <w:bottom w:val="single" w:sz="4" w:space="0" w:color="auto"/>
              <w:right w:val="single" w:sz="4" w:space="0" w:color="auto"/>
            </w:tcBorders>
            <w:vAlign w:val="center"/>
          </w:tcPr>
          <w:p w14:paraId="3C32B51F" w14:textId="054A3C7C" w:rsidR="00AA5A92" w:rsidRPr="000A7EB8" w:rsidRDefault="00AA5A92">
            <w:pPr>
              <w:jc w:val="center"/>
              <w:rPr>
                <w:szCs w:val="20"/>
              </w:rPr>
            </w:pPr>
            <w:r w:rsidRPr="00683518">
              <w:rPr>
                <w:szCs w:val="20"/>
              </w:rPr>
              <w:t>4.4</w:t>
            </w:r>
          </w:p>
        </w:tc>
        <w:tc>
          <w:tcPr>
            <w:tcW w:w="575" w:type="pct"/>
            <w:tcBorders>
              <w:top w:val="single" w:sz="4" w:space="0" w:color="auto"/>
              <w:left w:val="single" w:sz="4" w:space="0" w:color="auto"/>
              <w:bottom w:val="single" w:sz="4" w:space="0" w:color="auto"/>
              <w:right w:val="single" w:sz="4" w:space="0" w:color="auto"/>
            </w:tcBorders>
            <w:vAlign w:val="center"/>
          </w:tcPr>
          <w:p w14:paraId="005B3098" w14:textId="182BA7F7" w:rsidR="00AA5A92" w:rsidRPr="000A7EB8" w:rsidRDefault="00AA5A92">
            <w:pPr>
              <w:jc w:val="center"/>
              <w:rPr>
                <w:szCs w:val="20"/>
              </w:rPr>
            </w:pPr>
            <w:r>
              <w:rPr>
                <w:szCs w:val="20"/>
              </w:rPr>
              <w:t>1.5</w:t>
            </w:r>
          </w:p>
        </w:tc>
        <w:tc>
          <w:tcPr>
            <w:tcW w:w="884" w:type="pct"/>
            <w:tcBorders>
              <w:top w:val="single" w:sz="4" w:space="0" w:color="auto"/>
              <w:left w:val="single" w:sz="4" w:space="0" w:color="auto"/>
              <w:bottom w:val="single" w:sz="4" w:space="0" w:color="auto"/>
              <w:right w:val="single" w:sz="4" w:space="0" w:color="auto"/>
            </w:tcBorders>
            <w:vAlign w:val="center"/>
          </w:tcPr>
          <w:p w14:paraId="7CF7ED67" w14:textId="087DE6CC" w:rsidR="00AA5A92" w:rsidRDefault="00AA5A92">
            <w:pPr>
              <w:jc w:val="center"/>
              <w:rPr>
                <w:rFonts w:ascii="Calibri" w:hAnsi="Calibri"/>
                <w:szCs w:val="22"/>
              </w:rPr>
            </w:pPr>
            <w:r w:rsidRPr="00683518">
              <w:rPr>
                <w:szCs w:val="20"/>
              </w:rPr>
              <w:t>5,475</w:t>
            </w:r>
          </w:p>
        </w:tc>
        <w:tc>
          <w:tcPr>
            <w:tcW w:w="884" w:type="pct"/>
            <w:tcBorders>
              <w:top w:val="single" w:sz="4" w:space="0" w:color="auto"/>
              <w:left w:val="single" w:sz="4" w:space="0" w:color="auto"/>
              <w:bottom w:val="single" w:sz="4" w:space="0" w:color="auto"/>
              <w:right w:val="single" w:sz="4" w:space="0" w:color="auto"/>
            </w:tcBorders>
          </w:tcPr>
          <w:p w14:paraId="48C2FBCB" w14:textId="36B29B2D" w:rsidR="00AA5A92" w:rsidRDefault="00AA5A92" w:rsidP="00A0453B">
            <w:pPr>
              <w:jc w:val="center"/>
              <w:rPr>
                <w:rFonts w:ascii="Calibri" w:hAnsi="Calibri"/>
                <w:szCs w:val="22"/>
              </w:rPr>
            </w:pPr>
            <w:r>
              <w:rPr>
                <w:rFonts w:ascii="Calibri" w:hAnsi="Calibri"/>
                <w:szCs w:val="22"/>
              </w:rPr>
              <w:t>READi Tool</w:t>
            </w:r>
          </w:p>
          <w:p w14:paraId="36C46EC7" w14:textId="7B426A64" w:rsidR="00AA5A92" w:rsidRDefault="00AA5A92">
            <w:pPr>
              <w:jc w:val="center"/>
              <w:rPr>
                <w:szCs w:val="20"/>
              </w:rPr>
            </w:pPr>
            <w:r>
              <w:rPr>
                <w:rFonts w:ascii="Calibri" w:hAnsi="Calibri"/>
                <w:szCs w:val="22"/>
              </w:rPr>
              <w:t>2.4.7</w:t>
            </w:r>
          </w:p>
        </w:tc>
      </w:tr>
      <w:tr w:rsidR="00AA5A92" w:rsidRPr="000A7EB8" w14:paraId="782FD89D" w14:textId="28DA8968"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264373ED" w14:textId="37C5F560"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51C831BE" w14:textId="280C4F54" w:rsidR="00AA5A92" w:rsidRPr="000A7EB8" w:rsidRDefault="00AA5A92">
            <w:pPr>
              <w:jc w:val="center"/>
              <w:rPr>
                <w:szCs w:val="20"/>
              </w:rPr>
            </w:pPr>
            <w:r w:rsidRPr="00683518">
              <w:rPr>
                <w:szCs w:val="20"/>
              </w:rPr>
              <w:t>Retail – Small</w:t>
            </w:r>
          </w:p>
        </w:tc>
        <w:tc>
          <w:tcPr>
            <w:tcW w:w="575" w:type="pct"/>
            <w:tcBorders>
              <w:top w:val="single" w:sz="4" w:space="0" w:color="auto"/>
              <w:left w:val="single" w:sz="4" w:space="0" w:color="auto"/>
              <w:bottom w:val="single" w:sz="4" w:space="0" w:color="auto"/>
              <w:right w:val="single" w:sz="4" w:space="0" w:color="auto"/>
            </w:tcBorders>
            <w:vAlign w:val="center"/>
          </w:tcPr>
          <w:p w14:paraId="0829294F" w14:textId="0BFF20BD" w:rsidR="00AA5A92" w:rsidRPr="000A7EB8" w:rsidRDefault="00AA5A92">
            <w:pPr>
              <w:jc w:val="center"/>
              <w:rPr>
                <w:szCs w:val="20"/>
              </w:rPr>
            </w:pPr>
            <w:r w:rsidRPr="00683518">
              <w:rPr>
                <w:szCs w:val="20"/>
              </w:rPr>
              <w:t>5.</w:t>
            </w:r>
            <w:r>
              <w:rPr>
                <w:szCs w:val="20"/>
              </w:rPr>
              <w:t>0</w:t>
            </w:r>
          </w:p>
        </w:tc>
        <w:tc>
          <w:tcPr>
            <w:tcW w:w="575" w:type="pct"/>
            <w:tcBorders>
              <w:top w:val="single" w:sz="4" w:space="0" w:color="auto"/>
              <w:left w:val="single" w:sz="4" w:space="0" w:color="auto"/>
              <w:bottom w:val="single" w:sz="4" w:space="0" w:color="auto"/>
              <w:right w:val="single" w:sz="4" w:space="0" w:color="auto"/>
            </w:tcBorders>
            <w:vAlign w:val="center"/>
          </w:tcPr>
          <w:p w14:paraId="2E2262AA" w14:textId="5DD779A8" w:rsidR="00AA5A92" w:rsidRPr="000A7EB8" w:rsidRDefault="00AA5A92">
            <w:pPr>
              <w:jc w:val="center"/>
              <w:rPr>
                <w:szCs w:val="20"/>
              </w:rPr>
            </w:pPr>
            <w:r>
              <w:rPr>
                <w:szCs w:val="20"/>
              </w:rPr>
              <w:t>1.7</w:t>
            </w:r>
          </w:p>
        </w:tc>
        <w:tc>
          <w:tcPr>
            <w:tcW w:w="884" w:type="pct"/>
            <w:tcBorders>
              <w:top w:val="single" w:sz="4" w:space="0" w:color="auto"/>
              <w:left w:val="single" w:sz="4" w:space="0" w:color="auto"/>
              <w:bottom w:val="single" w:sz="4" w:space="0" w:color="auto"/>
              <w:right w:val="single" w:sz="4" w:space="0" w:color="auto"/>
            </w:tcBorders>
            <w:vAlign w:val="center"/>
          </w:tcPr>
          <w:p w14:paraId="27CBD690" w14:textId="610BDE86" w:rsidR="00AA5A92" w:rsidRDefault="00AA5A92">
            <w:pPr>
              <w:jc w:val="center"/>
              <w:rPr>
                <w:rFonts w:ascii="Calibri" w:hAnsi="Calibri"/>
                <w:szCs w:val="22"/>
              </w:rPr>
            </w:pPr>
            <w:r w:rsidRPr="00683518">
              <w:rPr>
                <w:szCs w:val="20"/>
              </w:rPr>
              <w:t>4,745</w:t>
            </w:r>
          </w:p>
        </w:tc>
        <w:tc>
          <w:tcPr>
            <w:tcW w:w="884" w:type="pct"/>
            <w:tcBorders>
              <w:top w:val="single" w:sz="4" w:space="0" w:color="auto"/>
              <w:left w:val="single" w:sz="4" w:space="0" w:color="auto"/>
              <w:bottom w:val="single" w:sz="4" w:space="0" w:color="auto"/>
              <w:right w:val="single" w:sz="4" w:space="0" w:color="auto"/>
            </w:tcBorders>
          </w:tcPr>
          <w:p w14:paraId="3DF881C1" w14:textId="4E5B8360" w:rsidR="00AA5A92" w:rsidRDefault="00AA5A92" w:rsidP="00A0453B">
            <w:pPr>
              <w:jc w:val="center"/>
              <w:rPr>
                <w:rFonts w:ascii="Calibri" w:hAnsi="Calibri"/>
                <w:szCs w:val="22"/>
              </w:rPr>
            </w:pPr>
            <w:r>
              <w:rPr>
                <w:rFonts w:ascii="Calibri" w:hAnsi="Calibri"/>
                <w:szCs w:val="22"/>
              </w:rPr>
              <w:t>READi Tool</w:t>
            </w:r>
          </w:p>
          <w:p w14:paraId="62D62EB3" w14:textId="019693AC" w:rsidR="00AA5A92" w:rsidRDefault="00AA5A92">
            <w:pPr>
              <w:jc w:val="center"/>
              <w:rPr>
                <w:szCs w:val="20"/>
              </w:rPr>
            </w:pPr>
            <w:r>
              <w:rPr>
                <w:rFonts w:ascii="Calibri" w:hAnsi="Calibri"/>
                <w:szCs w:val="22"/>
              </w:rPr>
              <w:t>2.4.7</w:t>
            </w:r>
          </w:p>
        </w:tc>
      </w:tr>
      <w:tr w:rsidR="00AA5A92" w:rsidRPr="000A7EB8" w14:paraId="66678991" w14:textId="4DCA73A6"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5E95FC77" w14:textId="44425320"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01F4BA41" w14:textId="7B4C1B56" w:rsidR="00AA5A92" w:rsidRPr="000A7EB8" w:rsidRDefault="00AA5A92">
            <w:pPr>
              <w:jc w:val="center"/>
              <w:rPr>
                <w:szCs w:val="20"/>
              </w:rPr>
            </w:pPr>
            <w:r w:rsidRPr="00683518">
              <w:rPr>
                <w:szCs w:val="20"/>
              </w:rPr>
              <w:t xml:space="preserve">Storage </w:t>
            </w:r>
            <w:r>
              <w:rPr>
                <w:szCs w:val="20"/>
              </w:rPr>
              <w:t>–</w:t>
            </w:r>
            <w:r w:rsidRPr="00683518">
              <w:rPr>
                <w:szCs w:val="20"/>
              </w:rPr>
              <w:t xml:space="preserve"> Conditioned</w:t>
            </w:r>
          </w:p>
        </w:tc>
        <w:tc>
          <w:tcPr>
            <w:tcW w:w="575" w:type="pct"/>
            <w:tcBorders>
              <w:top w:val="single" w:sz="4" w:space="0" w:color="auto"/>
              <w:left w:val="single" w:sz="4" w:space="0" w:color="auto"/>
              <w:bottom w:val="single" w:sz="4" w:space="0" w:color="auto"/>
              <w:right w:val="single" w:sz="4" w:space="0" w:color="auto"/>
            </w:tcBorders>
            <w:vAlign w:val="center"/>
          </w:tcPr>
          <w:p w14:paraId="249A0FAE" w14:textId="5597B545" w:rsidR="00AA5A92" w:rsidRPr="000A7EB8" w:rsidRDefault="00AA5A92">
            <w:pPr>
              <w:jc w:val="center"/>
              <w:rPr>
                <w:szCs w:val="20"/>
              </w:rPr>
            </w:pPr>
            <w:r>
              <w:rPr>
                <w:szCs w:val="20"/>
              </w:rPr>
              <w:t>2.7</w:t>
            </w:r>
          </w:p>
        </w:tc>
        <w:tc>
          <w:tcPr>
            <w:tcW w:w="575" w:type="pct"/>
            <w:tcBorders>
              <w:top w:val="single" w:sz="4" w:space="0" w:color="auto"/>
              <w:left w:val="single" w:sz="4" w:space="0" w:color="auto"/>
              <w:bottom w:val="single" w:sz="4" w:space="0" w:color="auto"/>
              <w:right w:val="single" w:sz="4" w:space="0" w:color="auto"/>
            </w:tcBorders>
            <w:vAlign w:val="center"/>
          </w:tcPr>
          <w:p w14:paraId="4558454E" w14:textId="2E631473" w:rsidR="00AA5A92" w:rsidRPr="000A7EB8" w:rsidRDefault="00AA5A92">
            <w:pPr>
              <w:jc w:val="center"/>
              <w:rPr>
                <w:szCs w:val="20"/>
              </w:rPr>
            </w:pPr>
            <w:r>
              <w:rPr>
                <w:szCs w:val="20"/>
              </w:rPr>
              <w:t>0.9</w:t>
            </w:r>
          </w:p>
        </w:tc>
        <w:tc>
          <w:tcPr>
            <w:tcW w:w="884" w:type="pct"/>
            <w:tcBorders>
              <w:top w:val="single" w:sz="4" w:space="0" w:color="auto"/>
              <w:left w:val="single" w:sz="4" w:space="0" w:color="auto"/>
              <w:bottom w:val="single" w:sz="4" w:space="0" w:color="auto"/>
              <w:right w:val="single" w:sz="4" w:space="0" w:color="auto"/>
            </w:tcBorders>
            <w:vAlign w:val="center"/>
          </w:tcPr>
          <w:p w14:paraId="77289A66" w14:textId="1F64A049" w:rsidR="00AA5A92" w:rsidRDefault="00AA5A92">
            <w:pPr>
              <w:jc w:val="center"/>
              <w:rPr>
                <w:rFonts w:ascii="Calibri" w:hAnsi="Calibri"/>
                <w:szCs w:val="22"/>
              </w:rPr>
            </w:pPr>
            <w:r w:rsidRPr="00683518">
              <w:rPr>
                <w:szCs w:val="20"/>
              </w:rPr>
              <w:t>4,707</w:t>
            </w:r>
          </w:p>
        </w:tc>
        <w:tc>
          <w:tcPr>
            <w:tcW w:w="884" w:type="pct"/>
            <w:tcBorders>
              <w:top w:val="single" w:sz="4" w:space="0" w:color="auto"/>
              <w:left w:val="single" w:sz="4" w:space="0" w:color="auto"/>
              <w:bottom w:val="single" w:sz="4" w:space="0" w:color="auto"/>
              <w:right w:val="single" w:sz="4" w:space="0" w:color="auto"/>
            </w:tcBorders>
          </w:tcPr>
          <w:p w14:paraId="6AC39359" w14:textId="51F3203D" w:rsidR="00AA5A92" w:rsidRDefault="00AA5A92">
            <w:pPr>
              <w:jc w:val="center"/>
              <w:rPr>
                <w:szCs w:val="20"/>
              </w:rPr>
            </w:pPr>
            <w:r>
              <w:rPr>
                <w:rFonts w:ascii="Calibri" w:hAnsi="Calibri"/>
                <w:szCs w:val="22"/>
              </w:rPr>
              <w:t>WP SCE13HC040.2</w:t>
            </w:r>
          </w:p>
        </w:tc>
      </w:tr>
      <w:tr w:rsidR="00AA5A92" w:rsidRPr="000A7EB8" w14:paraId="487F613C" w14:textId="6BF8BAAF" w:rsidTr="00B27FB7">
        <w:trPr>
          <w:trHeight w:val="243"/>
          <w:jc w:val="center"/>
        </w:trPr>
        <w:tc>
          <w:tcPr>
            <w:tcW w:w="1019" w:type="pct"/>
            <w:tcBorders>
              <w:top w:val="single" w:sz="4" w:space="0" w:color="auto"/>
              <w:left w:val="single" w:sz="4" w:space="0" w:color="auto"/>
              <w:bottom w:val="single" w:sz="4" w:space="0" w:color="auto"/>
              <w:right w:val="single" w:sz="4" w:space="0" w:color="auto"/>
            </w:tcBorders>
            <w:vAlign w:val="center"/>
          </w:tcPr>
          <w:p w14:paraId="2D155D6A" w14:textId="41EE3044" w:rsidR="00AA5A92" w:rsidRPr="000A7EB8" w:rsidRDefault="00AA5A92">
            <w:pPr>
              <w:jc w:val="center"/>
              <w:rPr>
                <w:rFonts w:ascii="Calibri" w:hAnsi="Calibri"/>
                <w:szCs w:val="22"/>
              </w:rPr>
            </w:pPr>
            <w:r w:rsidRPr="000A7EB8">
              <w:rPr>
                <w:rFonts w:ascii="Calibri" w:hAnsi="Calibri"/>
                <w:szCs w:val="22"/>
              </w:rPr>
              <w:t>HV-CoggedBelt</w:t>
            </w:r>
          </w:p>
        </w:tc>
        <w:tc>
          <w:tcPr>
            <w:tcW w:w="1062" w:type="pct"/>
            <w:tcBorders>
              <w:top w:val="single" w:sz="4" w:space="0" w:color="auto"/>
              <w:left w:val="single" w:sz="4" w:space="0" w:color="auto"/>
              <w:bottom w:val="single" w:sz="4" w:space="0" w:color="auto"/>
              <w:right w:val="single" w:sz="4" w:space="0" w:color="auto"/>
            </w:tcBorders>
            <w:vAlign w:val="center"/>
          </w:tcPr>
          <w:p w14:paraId="30F23EA7" w14:textId="31C19992" w:rsidR="00AA5A92" w:rsidRPr="000A7EB8" w:rsidRDefault="00AA5A92">
            <w:pPr>
              <w:jc w:val="center"/>
              <w:rPr>
                <w:szCs w:val="20"/>
              </w:rPr>
            </w:pPr>
            <w:r w:rsidRPr="00683518">
              <w:rPr>
                <w:szCs w:val="20"/>
              </w:rPr>
              <w:t>Grocery</w:t>
            </w:r>
          </w:p>
        </w:tc>
        <w:tc>
          <w:tcPr>
            <w:tcW w:w="575" w:type="pct"/>
            <w:tcBorders>
              <w:top w:val="single" w:sz="4" w:space="0" w:color="auto"/>
              <w:left w:val="single" w:sz="4" w:space="0" w:color="auto"/>
              <w:bottom w:val="single" w:sz="4" w:space="0" w:color="auto"/>
              <w:right w:val="single" w:sz="4" w:space="0" w:color="auto"/>
            </w:tcBorders>
            <w:vAlign w:val="center"/>
          </w:tcPr>
          <w:p w14:paraId="585A5B57" w14:textId="38120443" w:rsidR="00AA5A92" w:rsidRPr="000A7EB8" w:rsidRDefault="00AA5A92">
            <w:pPr>
              <w:jc w:val="center"/>
              <w:rPr>
                <w:szCs w:val="20"/>
              </w:rPr>
            </w:pPr>
            <w:r>
              <w:rPr>
                <w:szCs w:val="20"/>
              </w:rPr>
              <w:t>2.7</w:t>
            </w:r>
          </w:p>
        </w:tc>
        <w:tc>
          <w:tcPr>
            <w:tcW w:w="575" w:type="pct"/>
            <w:tcBorders>
              <w:top w:val="single" w:sz="4" w:space="0" w:color="auto"/>
              <w:left w:val="single" w:sz="4" w:space="0" w:color="auto"/>
              <w:bottom w:val="single" w:sz="4" w:space="0" w:color="auto"/>
              <w:right w:val="single" w:sz="4" w:space="0" w:color="auto"/>
            </w:tcBorders>
            <w:vAlign w:val="center"/>
          </w:tcPr>
          <w:p w14:paraId="1D6F0E2C" w14:textId="2A144144" w:rsidR="00AA5A92" w:rsidRPr="000A7EB8" w:rsidRDefault="00AA5A92">
            <w:pPr>
              <w:jc w:val="center"/>
              <w:rPr>
                <w:szCs w:val="20"/>
              </w:rPr>
            </w:pPr>
            <w:r>
              <w:rPr>
                <w:szCs w:val="20"/>
              </w:rPr>
              <w:t>0.9</w:t>
            </w:r>
          </w:p>
        </w:tc>
        <w:tc>
          <w:tcPr>
            <w:tcW w:w="884" w:type="pct"/>
            <w:tcBorders>
              <w:top w:val="single" w:sz="4" w:space="0" w:color="auto"/>
              <w:left w:val="single" w:sz="4" w:space="0" w:color="auto"/>
              <w:bottom w:val="single" w:sz="4" w:space="0" w:color="auto"/>
              <w:right w:val="single" w:sz="4" w:space="0" w:color="auto"/>
            </w:tcBorders>
            <w:vAlign w:val="center"/>
          </w:tcPr>
          <w:p w14:paraId="162AC046" w14:textId="7265CFAE" w:rsidR="00AA5A92" w:rsidRDefault="00AA5A92">
            <w:pPr>
              <w:jc w:val="center"/>
              <w:rPr>
                <w:rFonts w:ascii="Calibri" w:hAnsi="Calibri"/>
                <w:szCs w:val="22"/>
              </w:rPr>
            </w:pPr>
            <w:r w:rsidRPr="00683518">
              <w:rPr>
                <w:szCs w:val="20"/>
              </w:rPr>
              <w:t>6,570</w:t>
            </w:r>
          </w:p>
        </w:tc>
        <w:tc>
          <w:tcPr>
            <w:tcW w:w="884" w:type="pct"/>
            <w:tcBorders>
              <w:top w:val="single" w:sz="4" w:space="0" w:color="auto"/>
              <w:left w:val="single" w:sz="4" w:space="0" w:color="auto"/>
              <w:bottom w:val="single" w:sz="4" w:space="0" w:color="auto"/>
              <w:right w:val="single" w:sz="4" w:space="0" w:color="auto"/>
            </w:tcBorders>
          </w:tcPr>
          <w:p w14:paraId="401EC75B" w14:textId="6BB83DE1" w:rsidR="00AA5A92" w:rsidRDefault="00AA5A92">
            <w:pPr>
              <w:jc w:val="center"/>
              <w:rPr>
                <w:szCs w:val="20"/>
              </w:rPr>
            </w:pPr>
            <w:r>
              <w:rPr>
                <w:rFonts w:ascii="Calibri" w:hAnsi="Calibri"/>
                <w:szCs w:val="22"/>
              </w:rPr>
              <w:t>WP SCE13HC040.2</w:t>
            </w:r>
          </w:p>
        </w:tc>
      </w:tr>
      <w:tr w:rsidR="009C6DF8" w:rsidRPr="000A7EB8" w14:paraId="61384AAD" w14:textId="77777777" w:rsidTr="00B27FB7">
        <w:trPr>
          <w:trHeight w:val="243"/>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14:paraId="5E8966A2" w14:textId="77777777" w:rsidR="009C6DF8" w:rsidRPr="00683518" w:rsidRDefault="009C6DF8" w:rsidP="009C6DF8">
            <w:pPr>
              <w:rPr>
                <w:szCs w:val="20"/>
              </w:rPr>
            </w:pPr>
            <w:r w:rsidRPr="00683518">
              <w:rPr>
                <w:szCs w:val="20"/>
              </w:rPr>
              <w:t>* DEER Building Prototypes marked wit</w:t>
            </w:r>
            <w:r>
              <w:rPr>
                <w:szCs w:val="20"/>
              </w:rPr>
              <w:t>h an asterisk do not have</w:t>
            </w:r>
            <w:r w:rsidRPr="00683518">
              <w:rPr>
                <w:szCs w:val="20"/>
              </w:rPr>
              <w:t xml:space="preserve"> RTUs but have central HVAC systems with variable air flow and a combination of Single zone VAV, Fan Coil, and VAV Reheat.  </w:t>
            </w:r>
          </w:p>
          <w:p w14:paraId="13FCB855" w14:textId="58332E9E" w:rsidR="009C6DF8" w:rsidRDefault="009C6DF8" w:rsidP="009C6DF8">
            <w:pPr>
              <w:rPr>
                <w:rFonts w:ascii="Calibri" w:hAnsi="Calibri"/>
                <w:szCs w:val="22"/>
              </w:rPr>
            </w:pPr>
            <w:r w:rsidRPr="00683518">
              <w:rPr>
                <w:szCs w:val="20"/>
              </w:rPr>
              <w:t>**Occupancy hours derived from eQUEST SIM report SS-L Fan Energy.</w:t>
            </w:r>
          </w:p>
        </w:tc>
      </w:tr>
    </w:tbl>
    <w:p w14:paraId="6E1E2614" w14:textId="77777777"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0"/>
    </w:p>
    <w:p w14:paraId="15A7CD65" w14:textId="72457A60" w:rsidR="00D11D56" w:rsidRPr="00F12A99" w:rsidRDefault="005D7E37" w:rsidP="00D11D56">
      <w:pPr>
        <w:pStyle w:val="Reminders"/>
        <w:rPr>
          <w:rFonts w:asciiTheme="minorHAnsi" w:hAnsiTheme="minorHAnsi" w:cstheme="minorHAnsi"/>
          <w:i w:val="0"/>
          <w:color w:val="auto"/>
          <w:szCs w:val="22"/>
        </w:rPr>
      </w:pPr>
      <w:bookmarkStart w:id="11" w:name="_Toc214003088"/>
      <w:r>
        <w:rPr>
          <w:rFonts w:asciiTheme="minorHAnsi" w:hAnsiTheme="minorHAnsi" w:cstheme="minorHAnsi"/>
          <w:i w:val="0"/>
          <w:color w:val="auto"/>
          <w:szCs w:val="22"/>
        </w:rPr>
        <w:t xml:space="preserve">2016 </w:t>
      </w:r>
      <w:r w:rsidR="00D11D56" w:rsidRPr="00304601">
        <w:rPr>
          <w:rFonts w:asciiTheme="minorHAnsi" w:hAnsiTheme="minorHAnsi" w:cstheme="minorHAnsi"/>
          <w:i w:val="0"/>
          <w:color w:val="auto"/>
          <w:szCs w:val="22"/>
        </w:rPr>
        <w:t xml:space="preserve">Title 24 </w:t>
      </w:r>
      <w:r w:rsidR="00D11D56">
        <w:rPr>
          <w:rFonts w:asciiTheme="minorHAnsi" w:hAnsiTheme="minorHAnsi" w:cstheme="minorHAnsi"/>
          <w:i w:val="0"/>
          <w:color w:val="auto"/>
          <w:szCs w:val="22"/>
        </w:rPr>
        <w:t>[</w:t>
      </w:r>
      <w:r>
        <w:rPr>
          <w:rFonts w:asciiTheme="minorHAnsi" w:hAnsiTheme="minorHAnsi" w:cstheme="minorHAnsi"/>
          <w:i w:val="0"/>
          <w:color w:val="auto"/>
          <w:szCs w:val="22"/>
        </w:rPr>
        <w:t>501</w:t>
      </w:r>
      <w:r w:rsidR="00D11D56">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2016 </w:t>
      </w:r>
      <w:r w:rsidR="00D11D56">
        <w:rPr>
          <w:rFonts w:asciiTheme="minorHAnsi" w:hAnsiTheme="minorHAnsi" w:cstheme="minorHAnsi"/>
          <w:i w:val="0"/>
          <w:color w:val="auto"/>
          <w:szCs w:val="22"/>
        </w:rPr>
        <w:t>Title 20 [</w:t>
      </w:r>
      <w:r>
        <w:rPr>
          <w:rFonts w:asciiTheme="minorHAnsi" w:hAnsiTheme="minorHAnsi" w:cstheme="minorHAnsi"/>
          <w:i w:val="0"/>
          <w:color w:val="auto"/>
          <w:szCs w:val="22"/>
        </w:rPr>
        <w:t>508</w:t>
      </w:r>
      <w:r w:rsidR="00D11D56">
        <w:rPr>
          <w:rFonts w:asciiTheme="minorHAnsi" w:hAnsiTheme="minorHAnsi" w:cstheme="minorHAnsi"/>
          <w:i w:val="0"/>
          <w:color w:val="auto"/>
          <w:szCs w:val="22"/>
        </w:rPr>
        <w:t xml:space="preserve">] include some content related to </w:t>
      </w:r>
      <w:r w:rsidR="00D11D56" w:rsidRPr="00304601">
        <w:rPr>
          <w:rFonts w:asciiTheme="minorHAnsi" w:hAnsiTheme="minorHAnsi" w:cstheme="minorHAnsi"/>
          <w:i w:val="0"/>
          <w:color w:val="auto"/>
          <w:szCs w:val="22"/>
        </w:rPr>
        <w:t>non-residential package and split HVAC systems</w:t>
      </w:r>
      <w:r w:rsidR="00D11D56">
        <w:rPr>
          <w:rFonts w:asciiTheme="minorHAnsi" w:hAnsiTheme="minorHAnsi" w:cstheme="minorHAnsi"/>
          <w:i w:val="0"/>
          <w:color w:val="auto"/>
          <w:szCs w:val="22"/>
        </w:rPr>
        <w:t xml:space="preserve">, which are the target system types for this measure. However, these requirements do not directly affect the fan belt or its operating characteristics and thus do not </w:t>
      </w:r>
      <w:r w:rsidR="00D11D56" w:rsidRPr="00304601">
        <w:rPr>
          <w:rFonts w:asciiTheme="minorHAnsi" w:hAnsiTheme="minorHAnsi" w:cstheme="minorHAnsi"/>
          <w:i w:val="0"/>
          <w:color w:val="auto"/>
          <w:szCs w:val="22"/>
        </w:rPr>
        <w:t xml:space="preserve">impact the assumptions that quantify the demand reduction and energy savings methodologies for </w:t>
      </w:r>
      <w:r w:rsidR="00913FF1">
        <w:rPr>
          <w:rFonts w:asciiTheme="minorHAnsi" w:hAnsiTheme="minorHAnsi" w:cstheme="minorHAnsi"/>
          <w:i w:val="0"/>
          <w:color w:val="auto"/>
          <w:szCs w:val="22"/>
        </w:rPr>
        <w:t>the</w:t>
      </w:r>
      <w:r w:rsidR="00913FF1" w:rsidRPr="00304601">
        <w:rPr>
          <w:rFonts w:asciiTheme="minorHAnsi" w:hAnsiTheme="minorHAnsi" w:cstheme="minorHAnsi"/>
          <w:i w:val="0"/>
          <w:color w:val="auto"/>
          <w:szCs w:val="22"/>
        </w:rPr>
        <w:t xml:space="preserve"> </w:t>
      </w:r>
      <w:r w:rsidR="00D11D56" w:rsidRPr="00304601">
        <w:rPr>
          <w:rFonts w:asciiTheme="minorHAnsi" w:hAnsiTheme="minorHAnsi" w:cstheme="minorHAnsi"/>
          <w:i w:val="0"/>
          <w:color w:val="auto"/>
          <w:szCs w:val="22"/>
        </w:rPr>
        <w:t>measure.</w:t>
      </w:r>
      <w:r w:rsidR="00D11D56">
        <w:rPr>
          <w:rFonts w:asciiTheme="minorHAnsi" w:hAnsiTheme="minorHAnsi" w:cstheme="minorHAnsi"/>
          <w:i w:val="0"/>
          <w:color w:val="auto"/>
          <w:szCs w:val="22"/>
        </w:rPr>
        <w:t xml:space="preserve"> </w:t>
      </w:r>
      <w:r w:rsidR="00D11D56" w:rsidRPr="00F12A99">
        <w:rPr>
          <w:rFonts w:asciiTheme="minorHAnsi" w:hAnsiTheme="minorHAnsi" w:cstheme="minorHAnsi"/>
          <w:i w:val="0"/>
          <w:color w:val="auto"/>
          <w:szCs w:val="22"/>
        </w:rPr>
        <w:t>Title 24 does not deal with maintenance issues. HVAC contractors should be licensed by the California State Licensing Board (CSLB) and the HVAC technicians should be EPA certified. Under state code, performance of maintenance and repairs does not requir</w:t>
      </w:r>
      <w:r w:rsidR="00D11D56">
        <w:rPr>
          <w:rFonts w:asciiTheme="minorHAnsi" w:hAnsiTheme="minorHAnsi" w:cstheme="minorHAnsi"/>
          <w:i w:val="0"/>
          <w:color w:val="auto"/>
          <w:szCs w:val="22"/>
        </w:rPr>
        <w:t>e a building and/or job permit.</w:t>
      </w:r>
    </w:p>
    <w:p w14:paraId="2E228286" w14:textId="77777777" w:rsidR="001A6FE5" w:rsidRPr="001A6FE5" w:rsidRDefault="001A6FE5" w:rsidP="0049157C"/>
    <w:p w14:paraId="021E3F87" w14:textId="77777777" w:rsidR="005D7E37" w:rsidRPr="00500C4E" w:rsidRDefault="005D7E37" w:rsidP="005D7E37">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5D7E37" w:rsidRPr="00500C4E" w14:paraId="0080B041" w14:textId="77777777" w:rsidTr="00E20AC9">
        <w:tc>
          <w:tcPr>
            <w:tcW w:w="1155" w:type="pct"/>
            <w:shd w:val="clear" w:color="auto" w:fill="D9D9D9" w:themeFill="background1" w:themeFillShade="D9"/>
          </w:tcPr>
          <w:p w14:paraId="5D77D052" w14:textId="77777777" w:rsidR="005D7E37" w:rsidRPr="00920905" w:rsidRDefault="005D7E37" w:rsidP="00E20AC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587FAF0F" w14:textId="77777777" w:rsidR="005D7E37" w:rsidRPr="00920905" w:rsidRDefault="005D7E37" w:rsidP="00E20AC9">
            <w:pPr>
              <w:rPr>
                <w:rFonts w:cstheme="minorHAnsi"/>
                <w:b/>
                <w:szCs w:val="20"/>
              </w:rPr>
            </w:pPr>
            <w:r>
              <w:rPr>
                <w:rFonts w:cstheme="minorHAnsi"/>
                <w:b/>
                <w:szCs w:val="20"/>
              </w:rPr>
              <w:t>R</w:t>
            </w:r>
            <w:r w:rsidRPr="00920905">
              <w:rPr>
                <w:rFonts w:cstheme="minorHAnsi"/>
                <w:b/>
                <w:szCs w:val="20"/>
              </w:rPr>
              <w:t>eference</w:t>
            </w:r>
          </w:p>
        </w:tc>
        <w:tc>
          <w:tcPr>
            <w:tcW w:w="1134" w:type="pct"/>
            <w:shd w:val="clear" w:color="auto" w:fill="D9D9D9" w:themeFill="background1" w:themeFillShade="D9"/>
          </w:tcPr>
          <w:p w14:paraId="356BB80E" w14:textId="77777777" w:rsidR="005D7E37" w:rsidRPr="00920905" w:rsidRDefault="005D7E37" w:rsidP="00E20AC9">
            <w:pPr>
              <w:rPr>
                <w:rFonts w:cstheme="minorHAnsi"/>
                <w:b/>
                <w:szCs w:val="20"/>
              </w:rPr>
            </w:pPr>
            <w:r w:rsidRPr="00920905">
              <w:rPr>
                <w:rFonts w:cstheme="minorHAnsi"/>
                <w:b/>
                <w:szCs w:val="20"/>
              </w:rPr>
              <w:t>Effective Date</w:t>
            </w:r>
            <w:r>
              <w:rPr>
                <w:rFonts w:cstheme="minorHAnsi"/>
                <w:b/>
                <w:szCs w:val="20"/>
              </w:rPr>
              <w:t>s</w:t>
            </w:r>
          </w:p>
        </w:tc>
      </w:tr>
      <w:tr w:rsidR="005D7E37" w:rsidRPr="00500C4E" w14:paraId="314BA21D" w14:textId="77777777" w:rsidTr="00E20AC9">
        <w:trPr>
          <w:trHeight w:val="243"/>
        </w:trPr>
        <w:tc>
          <w:tcPr>
            <w:tcW w:w="1155" w:type="pct"/>
            <w:vAlign w:val="center"/>
          </w:tcPr>
          <w:p w14:paraId="63F665CF" w14:textId="77777777" w:rsidR="005D7E37" w:rsidRPr="00500C4E" w:rsidRDefault="005D7E37" w:rsidP="00E20AC9">
            <w:pPr>
              <w:rPr>
                <w:rFonts w:cstheme="minorHAnsi"/>
                <w:szCs w:val="20"/>
              </w:rPr>
            </w:pPr>
            <w:r w:rsidRPr="00F811BE">
              <w:rPr>
                <w:rFonts w:cstheme="minorHAnsi"/>
                <w:szCs w:val="20"/>
              </w:rPr>
              <w:t>Title 24 (201</w:t>
            </w:r>
            <w:r>
              <w:rPr>
                <w:rFonts w:cstheme="minorHAnsi"/>
                <w:szCs w:val="20"/>
              </w:rPr>
              <w:t>6</w:t>
            </w:r>
            <w:r w:rsidRPr="00F811BE">
              <w:rPr>
                <w:rFonts w:cstheme="minorHAnsi"/>
                <w:szCs w:val="20"/>
              </w:rPr>
              <w:t>)</w:t>
            </w:r>
          </w:p>
        </w:tc>
        <w:tc>
          <w:tcPr>
            <w:tcW w:w="2711" w:type="pct"/>
            <w:vAlign w:val="center"/>
          </w:tcPr>
          <w:p w14:paraId="7EAC98E1" w14:textId="51B9DDA6" w:rsidR="005D7E37" w:rsidRPr="00500C4E" w:rsidRDefault="005D7E37" w:rsidP="00E20AC9">
            <w:pPr>
              <w:rPr>
                <w:rFonts w:cstheme="minorHAnsi"/>
                <w:color w:val="FF0000"/>
                <w:szCs w:val="20"/>
              </w:rPr>
            </w:pPr>
            <w:r>
              <w:rPr>
                <w:rFonts w:ascii="Calibri" w:hAnsi="Calibri" w:cs="Calibri"/>
                <w:szCs w:val="20"/>
              </w:rPr>
              <w:t>N/A</w:t>
            </w:r>
          </w:p>
        </w:tc>
        <w:tc>
          <w:tcPr>
            <w:tcW w:w="1134" w:type="pct"/>
            <w:vAlign w:val="center"/>
          </w:tcPr>
          <w:p w14:paraId="3E71DD82" w14:textId="6E749874" w:rsidR="005D7E37" w:rsidRPr="00500C4E" w:rsidRDefault="00FD1DDC" w:rsidP="00E20AC9">
            <w:pPr>
              <w:rPr>
                <w:rFonts w:cstheme="minorHAnsi"/>
                <w:color w:val="FF0000"/>
                <w:szCs w:val="20"/>
              </w:rPr>
            </w:pPr>
            <w:r>
              <w:rPr>
                <w:rFonts w:cstheme="minorHAnsi"/>
                <w:szCs w:val="20"/>
              </w:rPr>
              <w:t>1/1/2017</w:t>
            </w:r>
          </w:p>
        </w:tc>
      </w:tr>
      <w:tr w:rsidR="005D7E37" w:rsidRPr="00500C4E" w14:paraId="640B8672" w14:textId="77777777" w:rsidTr="00E20AC9">
        <w:trPr>
          <w:trHeight w:val="243"/>
        </w:trPr>
        <w:tc>
          <w:tcPr>
            <w:tcW w:w="1155" w:type="pct"/>
            <w:vAlign w:val="center"/>
          </w:tcPr>
          <w:p w14:paraId="39D6365A" w14:textId="710E4567" w:rsidR="005D7E37" w:rsidRPr="00500C4E" w:rsidRDefault="005D7E37" w:rsidP="005D7E37">
            <w:pPr>
              <w:rPr>
                <w:rFonts w:cstheme="minorHAnsi"/>
                <w:szCs w:val="20"/>
              </w:rPr>
            </w:pPr>
            <w:r w:rsidRPr="00F811BE">
              <w:rPr>
                <w:rFonts w:cstheme="minorHAnsi"/>
                <w:szCs w:val="20"/>
              </w:rPr>
              <w:lastRenderedPageBreak/>
              <w:t>Title 2</w:t>
            </w:r>
            <w:r>
              <w:rPr>
                <w:rFonts w:cstheme="minorHAnsi"/>
                <w:szCs w:val="20"/>
              </w:rPr>
              <w:t>0</w:t>
            </w:r>
            <w:r w:rsidRPr="00F811BE">
              <w:rPr>
                <w:rFonts w:cstheme="minorHAnsi"/>
                <w:szCs w:val="20"/>
              </w:rPr>
              <w:t xml:space="preserve"> (201</w:t>
            </w:r>
            <w:r>
              <w:rPr>
                <w:rFonts w:cstheme="minorHAnsi"/>
                <w:szCs w:val="20"/>
              </w:rPr>
              <w:t>6</w:t>
            </w:r>
            <w:r w:rsidRPr="00F811BE">
              <w:rPr>
                <w:rFonts w:cstheme="minorHAnsi"/>
                <w:szCs w:val="20"/>
              </w:rPr>
              <w:t>)</w:t>
            </w:r>
          </w:p>
        </w:tc>
        <w:tc>
          <w:tcPr>
            <w:tcW w:w="2711" w:type="pct"/>
            <w:vAlign w:val="center"/>
          </w:tcPr>
          <w:p w14:paraId="69EFE206" w14:textId="77777777" w:rsidR="005D7E37" w:rsidRPr="00500C4E" w:rsidRDefault="005D7E37" w:rsidP="00E20AC9">
            <w:pPr>
              <w:rPr>
                <w:rFonts w:cstheme="minorHAnsi"/>
                <w:color w:val="FF0000"/>
                <w:szCs w:val="20"/>
              </w:rPr>
            </w:pPr>
            <w:r>
              <w:rPr>
                <w:rFonts w:ascii="Calibri" w:hAnsi="Calibri" w:cs="Calibri"/>
                <w:szCs w:val="20"/>
              </w:rPr>
              <w:t>N/A</w:t>
            </w:r>
          </w:p>
        </w:tc>
        <w:tc>
          <w:tcPr>
            <w:tcW w:w="1134" w:type="pct"/>
            <w:vAlign w:val="center"/>
          </w:tcPr>
          <w:p w14:paraId="32BEFD63" w14:textId="0A09836B" w:rsidR="005D7E37" w:rsidRPr="00500C4E" w:rsidRDefault="00FD1DDC" w:rsidP="00E20AC9">
            <w:pPr>
              <w:rPr>
                <w:rFonts w:cstheme="minorHAnsi"/>
                <w:color w:val="FF0000"/>
                <w:szCs w:val="20"/>
              </w:rPr>
            </w:pPr>
            <w:r>
              <w:rPr>
                <w:rFonts w:cstheme="minorHAnsi"/>
                <w:szCs w:val="20"/>
              </w:rPr>
              <w:t>11/1/2016</w:t>
            </w:r>
          </w:p>
        </w:tc>
      </w:tr>
    </w:tbl>
    <w:p w14:paraId="1A6467AA" w14:textId="77777777" w:rsidR="006F7A43" w:rsidRPr="00920905" w:rsidRDefault="006F7A43" w:rsidP="006F7A43">
      <w:pPr>
        <w:pStyle w:val="Heading2"/>
        <w:rPr>
          <w:rFonts w:cstheme="minorHAnsi"/>
          <w:b w:val="0"/>
          <w:bCs w:val="0"/>
          <w:iCs w:val="0"/>
          <w:smallCaps w:val="0"/>
        </w:rPr>
      </w:pPr>
      <w:bookmarkStart w:id="12" w:name="_Toc304800207"/>
      <w:bookmarkStart w:id="13" w:name="_Toc324318343"/>
      <w:bookmarkStart w:id="14" w:name="_Toc324340487"/>
      <w:bookmarkStart w:id="15" w:name="_Toc383441992"/>
      <w:r w:rsidRPr="00920905">
        <w:rPr>
          <w:rFonts w:asciiTheme="minorHAnsi" w:hAnsiTheme="minorHAnsi" w:cstheme="minorHAnsi"/>
        </w:rPr>
        <w:t>1.5 EM&amp;V, Market Potential, and Other Studies – Base Case and Measure Case Information</w:t>
      </w:r>
      <w:bookmarkEnd w:id="12"/>
      <w:bookmarkEnd w:id="13"/>
      <w:bookmarkEnd w:id="14"/>
      <w:bookmarkEnd w:id="15"/>
    </w:p>
    <w:p w14:paraId="4BA57DC2" w14:textId="2473F9A1" w:rsidR="00AB21F5" w:rsidRPr="00397406" w:rsidRDefault="00AB21F5" w:rsidP="00F06CCF">
      <w:pPr>
        <w:pStyle w:val="Heading3"/>
        <w:rPr>
          <w:rFonts w:asciiTheme="minorHAnsi" w:hAnsiTheme="minorHAnsi"/>
        </w:rPr>
      </w:pPr>
      <w:r w:rsidRPr="00397406">
        <w:rPr>
          <w:rFonts w:asciiTheme="minorHAnsi" w:hAnsiTheme="minorHAnsi"/>
        </w:rPr>
        <w:t>1.</w:t>
      </w:r>
      <w:r w:rsidR="006F7A43">
        <w:rPr>
          <w:rFonts w:asciiTheme="minorHAnsi" w:hAnsiTheme="minorHAnsi"/>
        </w:rPr>
        <w:t>5</w:t>
      </w:r>
      <w:r w:rsidRPr="00397406">
        <w:rPr>
          <w:rFonts w:asciiTheme="minorHAnsi" w:hAnsiTheme="minorHAnsi"/>
        </w:rPr>
        <w:t>.</w:t>
      </w:r>
      <w:r w:rsidR="006F7A43">
        <w:rPr>
          <w:rFonts w:asciiTheme="minorHAnsi" w:hAnsiTheme="minorHAnsi"/>
        </w:rPr>
        <w:t>1</w:t>
      </w:r>
      <w:r w:rsidR="006F7A43" w:rsidRPr="00397406">
        <w:rPr>
          <w:rFonts w:asciiTheme="minorHAnsi" w:hAnsiTheme="minorHAnsi"/>
        </w:rPr>
        <w:t xml:space="preserve"> </w:t>
      </w:r>
      <w:r w:rsidRPr="00397406">
        <w:rPr>
          <w:rFonts w:asciiTheme="minorHAnsi" w:hAnsiTheme="minorHAnsi"/>
        </w:rPr>
        <w:t>Non-DEER Study Review</w:t>
      </w:r>
    </w:p>
    <w:p w14:paraId="26D663C7" w14:textId="103C5555" w:rsidR="00D11D56" w:rsidRPr="00197953" w:rsidRDefault="00D11D56" w:rsidP="00D11D56">
      <w:pPr>
        <w:rPr>
          <w:szCs w:val="22"/>
        </w:rPr>
      </w:pPr>
      <w:bookmarkStart w:id="16" w:name="_Toc214003090"/>
      <w:bookmarkEnd w:id="11"/>
      <w:r w:rsidRPr="00197953">
        <w:rPr>
          <w:szCs w:val="22"/>
        </w:rPr>
        <w:t>The efficiency improvement is a conservative estimate based on an engineering review of researc</w:t>
      </w:r>
      <w:r>
        <w:rPr>
          <w:szCs w:val="22"/>
        </w:rPr>
        <w:t>h literature as shown in</w:t>
      </w:r>
      <w:r w:rsidR="006F7A43">
        <w:rPr>
          <w:szCs w:val="22"/>
        </w:rPr>
        <w:t xml:space="preserve"> the below</w:t>
      </w:r>
      <w:r>
        <w:rPr>
          <w:szCs w:val="22"/>
        </w:rPr>
        <w:t xml:space="preserve"> </w:t>
      </w:r>
      <w:r w:rsidR="006F7A43">
        <w:rPr>
          <w:szCs w:val="22"/>
        </w:rPr>
        <w:t>table</w:t>
      </w:r>
      <w:r w:rsidRPr="00197953">
        <w:rPr>
          <w:szCs w:val="22"/>
        </w:rPr>
        <w:t>.</w:t>
      </w:r>
      <w:r>
        <w:rPr>
          <w:szCs w:val="22"/>
        </w:rPr>
        <w:t xml:space="preserve"> </w:t>
      </w:r>
      <w:r w:rsidRPr="00197953">
        <w:rPr>
          <w:szCs w:val="22"/>
        </w:rPr>
        <w:t>This is in agreement with USDOE’s assessment of the same literature as shown in</w:t>
      </w:r>
      <w:r>
        <w:rPr>
          <w:szCs w:val="22"/>
        </w:rPr>
        <w:t xml:space="preserve"> their Motor Systems Tips #5</w:t>
      </w:r>
      <w:r w:rsidRPr="00197953">
        <w:rPr>
          <w:szCs w:val="22"/>
        </w:rPr>
        <w:t xml:space="preserve"> </w:t>
      </w:r>
      <w:r>
        <w:rPr>
          <w:szCs w:val="22"/>
        </w:rPr>
        <w:fldChar w:fldCharType="begin"/>
      </w:r>
      <w:r>
        <w:rPr>
          <w:szCs w:val="22"/>
        </w:rPr>
        <w:instrText xml:space="preserve"> REF _Ref327947147 \r \h </w:instrText>
      </w:r>
      <w:r>
        <w:rPr>
          <w:szCs w:val="22"/>
        </w:rPr>
      </w:r>
      <w:r>
        <w:rPr>
          <w:szCs w:val="22"/>
        </w:rPr>
        <w:fldChar w:fldCharType="separate"/>
      </w:r>
      <w:r w:rsidR="00A9091F">
        <w:rPr>
          <w:szCs w:val="22"/>
        </w:rPr>
        <w:t>[E]</w:t>
      </w:r>
      <w:r>
        <w:rPr>
          <w:szCs w:val="22"/>
        </w:rPr>
        <w:fldChar w:fldCharType="end"/>
      </w:r>
      <w:r>
        <w:rPr>
          <w:szCs w:val="22"/>
        </w:rPr>
        <w:t xml:space="preserve"> </w:t>
      </w:r>
      <w:r w:rsidRPr="00197953">
        <w:rPr>
          <w:szCs w:val="22"/>
        </w:rPr>
        <w:t xml:space="preserve">where they suggest 2% as a median value for fan system efficiency improvement in HVAC systems with Type A and Type B cogged v-belts only. </w:t>
      </w:r>
    </w:p>
    <w:p w14:paraId="709F2B5E" w14:textId="77777777" w:rsidR="00D9073C" w:rsidRPr="00D9073C" w:rsidRDefault="00D9073C" w:rsidP="00D9073C"/>
    <w:p w14:paraId="254FA551" w14:textId="182051E2" w:rsidR="00D11D56" w:rsidRDefault="00D11D56" w:rsidP="00D11D56">
      <w:pPr>
        <w:pStyle w:val="Caption"/>
        <w:keepNext/>
        <w:jc w:val="center"/>
      </w:pPr>
      <w:r w:rsidRPr="00197953">
        <w:rPr>
          <w:rFonts w:cs="Calibri"/>
          <w:szCs w:val="22"/>
        </w:rPr>
        <w:t>Fan System Efficiency Improvement</w:t>
      </w:r>
    </w:p>
    <w:tbl>
      <w:tblPr>
        <w:tblW w:w="36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2"/>
        <w:gridCol w:w="3797"/>
      </w:tblGrid>
      <w:tr w:rsidR="00D11D56" w:rsidRPr="00197953" w14:paraId="341374DC" w14:textId="77777777" w:rsidTr="00C74D45">
        <w:trPr>
          <w:jc w:val="center"/>
        </w:trPr>
        <w:tc>
          <w:tcPr>
            <w:tcW w:w="2244" w:type="pct"/>
            <w:shd w:val="pct20" w:color="000000" w:fill="FFFFFF"/>
            <w:vAlign w:val="center"/>
          </w:tcPr>
          <w:p w14:paraId="7B85EB1D" w14:textId="77777777" w:rsidR="00D11D56" w:rsidRPr="00197953" w:rsidRDefault="00D11D56" w:rsidP="007221C8">
            <w:pPr>
              <w:jc w:val="center"/>
              <w:rPr>
                <w:b/>
                <w:bCs/>
                <w:sz w:val="20"/>
                <w:szCs w:val="20"/>
              </w:rPr>
            </w:pPr>
            <w:r w:rsidRPr="00197953">
              <w:rPr>
                <w:b/>
                <w:bCs/>
                <w:sz w:val="20"/>
                <w:szCs w:val="20"/>
              </w:rPr>
              <w:t>Reference Source</w:t>
            </w:r>
          </w:p>
        </w:tc>
        <w:tc>
          <w:tcPr>
            <w:tcW w:w="2756" w:type="pct"/>
            <w:shd w:val="pct20" w:color="000000" w:fill="FFFFFF"/>
            <w:vAlign w:val="center"/>
          </w:tcPr>
          <w:p w14:paraId="5B99BDCE" w14:textId="77777777" w:rsidR="00D11D56" w:rsidRPr="00197953" w:rsidRDefault="00D11D56" w:rsidP="007221C8">
            <w:pPr>
              <w:jc w:val="center"/>
              <w:rPr>
                <w:b/>
                <w:bCs/>
                <w:sz w:val="20"/>
                <w:szCs w:val="20"/>
              </w:rPr>
            </w:pPr>
            <w:r w:rsidRPr="00197953">
              <w:rPr>
                <w:b/>
                <w:bCs/>
                <w:sz w:val="20"/>
                <w:szCs w:val="20"/>
              </w:rPr>
              <w:t>Range of Efficiency Improvement</w:t>
            </w:r>
          </w:p>
        </w:tc>
      </w:tr>
      <w:tr w:rsidR="00D11D56" w:rsidRPr="000F71F0" w14:paraId="68C47FE3" w14:textId="77777777" w:rsidTr="00C74D45">
        <w:trPr>
          <w:jc w:val="center"/>
        </w:trPr>
        <w:tc>
          <w:tcPr>
            <w:tcW w:w="2244" w:type="pct"/>
            <w:shd w:val="clear" w:color="auto" w:fill="auto"/>
            <w:vAlign w:val="center"/>
          </w:tcPr>
          <w:p w14:paraId="6976DA69" w14:textId="77777777" w:rsidR="00D11D56" w:rsidRPr="000F71F0" w:rsidRDefault="00D11D56" w:rsidP="007221C8">
            <w:pPr>
              <w:jc w:val="center"/>
              <w:rPr>
                <w:rFonts w:cstheme="minorHAnsi"/>
                <w:sz w:val="20"/>
                <w:szCs w:val="20"/>
              </w:rPr>
            </w:pPr>
            <w:r w:rsidRPr="000F71F0">
              <w:rPr>
                <w:rFonts w:cstheme="minorHAnsi"/>
                <w:sz w:val="20"/>
                <w:szCs w:val="20"/>
              </w:rPr>
              <w:t>[A]</w:t>
            </w:r>
          </w:p>
        </w:tc>
        <w:tc>
          <w:tcPr>
            <w:tcW w:w="2756" w:type="pct"/>
            <w:shd w:val="clear" w:color="auto" w:fill="auto"/>
            <w:vAlign w:val="center"/>
          </w:tcPr>
          <w:p w14:paraId="0FA5DAB8" w14:textId="77777777" w:rsidR="00D11D56" w:rsidRPr="000F71F0" w:rsidRDefault="00D11D56" w:rsidP="007221C8">
            <w:pPr>
              <w:jc w:val="center"/>
              <w:rPr>
                <w:rFonts w:cstheme="minorHAnsi"/>
                <w:sz w:val="20"/>
                <w:szCs w:val="20"/>
              </w:rPr>
            </w:pPr>
            <w:r w:rsidRPr="000F71F0">
              <w:rPr>
                <w:rFonts w:cstheme="minorHAnsi"/>
                <w:sz w:val="20"/>
                <w:szCs w:val="20"/>
              </w:rPr>
              <w:t>3%</w:t>
            </w:r>
          </w:p>
        </w:tc>
      </w:tr>
      <w:tr w:rsidR="00D11D56" w:rsidRPr="00197953" w14:paraId="30B549AF" w14:textId="77777777" w:rsidTr="00C74D45">
        <w:trPr>
          <w:jc w:val="center"/>
        </w:trPr>
        <w:tc>
          <w:tcPr>
            <w:tcW w:w="2244" w:type="pct"/>
            <w:shd w:val="clear" w:color="auto" w:fill="auto"/>
            <w:vAlign w:val="center"/>
          </w:tcPr>
          <w:p w14:paraId="556B0666" w14:textId="77777777" w:rsidR="00D11D56" w:rsidRPr="00197953" w:rsidRDefault="00D11D56" w:rsidP="007221C8">
            <w:pPr>
              <w:jc w:val="center"/>
              <w:rPr>
                <w:bCs/>
                <w:sz w:val="20"/>
                <w:szCs w:val="20"/>
              </w:rPr>
            </w:pPr>
            <w:r w:rsidRPr="00197953">
              <w:rPr>
                <w:bCs/>
                <w:sz w:val="20"/>
                <w:szCs w:val="20"/>
              </w:rPr>
              <w:t>[B]</w:t>
            </w:r>
          </w:p>
        </w:tc>
        <w:tc>
          <w:tcPr>
            <w:tcW w:w="2756" w:type="pct"/>
            <w:shd w:val="clear" w:color="auto" w:fill="auto"/>
            <w:vAlign w:val="center"/>
          </w:tcPr>
          <w:p w14:paraId="05E15638" w14:textId="77777777" w:rsidR="00D11D56" w:rsidRPr="00197953" w:rsidRDefault="00D11D56" w:rsidP="007221C8">
            <w:pPr>
              <w:jc w:val="center"/>
              <w:rPr>
                <w:bCs/>
                <w:sz w:val="20"/>
                <w:szCs w:val="20"/>
              </w:rPr>
            </w:pPr>
            <w:r w:rsidRPr="00197953">
              <w:rPr>
                <w:bCs/>
                <w:sz w:val="20"/>
                <w:szCs w:val="20"/>
              </w:rPr>
              <w:t>3%</w:t>
            </w:r>
          </w:p>
        </w:tc>
      </w:tr>
      <w:tr w:rsidR="00D11D56" w:rsidRPr="00197953" w14:paraId="728F37DA" w14:textId="77777777" w:rsidTr="00C74D45">
        <w:trPr>
          <w:jc w:val="center"/>
        </w:trPr>
        <w:tc>
          <w:tcPr>
            <w:tcW w:w="2244" w:type="pct"/>
            <w:shd w:val="clear" w:color="auto" w:fill="auto"/>
            <w:vAlign w:val="center"/>
          </w:tcPr>
          <w:p w14:paraId="35D87FEA" w14:textId="77777777" w:rsidR="00D11D56" w:rsidRPr="00197953" w:rsidRDefault="00D11D56" w:rsidP="007221C8">
            <w:pPr>
              <w:jc w:val="center"/>
              <w:rPr>
                <w:bCs/>
                <w:sz w:val="20"/>
                <w:szCs w:val="20"/>
              </w:rPr>
            </w:pPr>
            <w:r>
              <w:rPr>
                <w:bCs/>
                <w:sz w:val="20"/>
                <w:szCs w:val="20"/>
              </w:rPr>
              <w:t>[C</w:t>
            </w:r>
            <w:r w:rsidRPr="00197953">
              <w:rPr>
                <w:bCs/>
                <w:sz w:val="20"/>
                <w:szCs w:val="20"/>
              </w:rPr>
              <w:t>]</w:t>
            </w:r>
          </w:p>
        </w:tc>
        <w:tc>
          <w:tcPr>
            <w:tcW w:w="2756" w:type="pct"/>
            <w:shd w:val="clear" w:color="auto" w:fill="auto"/>
            <w:vAlign w:val="center"/>
          </w:tcPr>
          <w:p w14:paraId="4DAFF678" w14:textId="77777777" w:rsidR="00D11D56" w:rsidRPr="00197953" w:rsidRDefault="00D11D56" w:rsidP="007221C8">
            <w:pPr>
              <w:jc w:val="center"/>
              <w:rPr>
                <w:bCs/>
                <w:sz w:val="20"/>
                <w:szCs w:val="20"/>
              </w:rPr>
            </w:pPr>
            <w:r w:rsidRPr="00197953">
              <w:rPr>
                <w:bCs/>
                <w:sz w:val="20"/>
                <w:szCs w:val="20"/>
              </w:rPr>
              <w:t>1% to 2%</w:t>
            </w:r>
          </w:p>
        </w:tc>
      </w:tr>
      <w:tr w:rsidR="00D11D56" w:rsidRPr="00197953" w14:paraId="4E3E50AD" w14:textId="77777777" w:rsidTr="00C74D45">
        <w:trPr>
          <w:jc w:val="center"/>
        </w:trPr>
        <w:tc>
          <w:tcPr>
            <w:tcW w:w="2244" w:type="pct"/>
            <w:shd w:val="clear" w:color="auto" w:fill="auto"/>
            <w:vAlign w:val="center"/>
          </w:tcPr>
          <w:p w14:paraId="7B5E935D" w14:textId="77777777" w:rsidR="00D11D56" w:rsidRPr="00197953" w:rsidRDefault="00D11D56" w:rsidP="007221C8">
            <w:pPr>
              <w:jc w:val="center"/>
              <w:rPr>
                <w:bCs/>
                <w:sz w:val="20"/>
                <w:szCs w:val="20"/>
              </w:rPr>
            </w:pPr>
            <w:r>
              <w:rPr>
                <w:bCs/>
                <w:sz w:val="20"/>
                <w:szCs w:val="20"/>
              </w:rPr>
              <w:t>[D</w:t>
            </w:r>
            <w:r w:rsidRPr="00197953">
              <w:rPr>
                <w:bCs/>
                <w:sz w:val="20"/>
                <w:szCs w:val="20"/>
              </w:rPr>
              <w:t>]</w:t>
            </w:r>
          </w:p>
        </w:tc>
        <w:tc>
          <w:tcPr>
            <w:tcW w:w="2756" w:type="pct"/>
            <w:shd w:val="clear" w:color="auto" w:fill="auto"/>
            <w:vAlign w:val="center"/>
          </w:tcPr>
          <w:p w14:paraId="764849A6" w14:textId="77777777" w:rsidR="00D11D56" w:rsidRPr="00197953" w:rsidRDefault="00D11D56" w:rsidP="007221C8">
            <w:pPr>
              <w:jc w:val="center"/>
              <w:rPr>
                <w:bCs/>
                <w:sz w:val="20"/>
                <w:szCs w:val="20"/>
              </w:rPr>
            </w:pPr>
            <w:r w:rsidRPr="00197953">
              <w:rPr>
                <w:bCs/>
                <w:sz w:val="20"/>
                <w:szCs w:val="20"/>
              </w:rPr>
              <w:t>0.4% to 4.8%</w:t>
            </w:r>
          </w:p>
        </w:tc>
      </w:tr>
      <w:tr w:rsidR="00D11D56" w:rsidRPr="00197953" w14:paraId="384018A9" w14:textId="77777777" w:rsidTr="00C74D45">
        <w:trPr>
          <w:jc w:val="center"/>
        </w:trPr>
        <w:tc>
          <w:tcPr>
            <w:tcW w:w="2244" w:type="pct"/>
            <w:shd w:val="clear" w:color="auto" w:fill="auto"/>
            <w:vAlign w:val="center"/>
          </w:tcPr>
          <w:p w14:paraId="47A9E1ED" w14:textId="77777777" w:rsidR="00D11D56" w:rsidRPr="00197953" w:rsidRDefault="00D11D56" w:rsidP="007221C8">
            <w:pPr>
              <w:jc w:val="center"/>
              <w:rPr>
                <w:bCs/>
                <w:sz w:val="20"/>
                <w:szCs w:val="20"/>
              </w:rPr>
            </w:pPr>
            <w:r>
              <w:rPr>
                <w:bCs/>
                <w:sz w:val="20"/>
                <w:szCs w:val="20"/>
              </w:rPr>
              <w:t>[E</w:t>
            </w:r>
            <w:r w:rsidRPr="00197953">
              <w:rPr>
                <w:bCs/>
                <w:sz w:val="20"/>
                <w:szCs w:val="20"/>
              </w:rPr>
              <w:t>]</w:t>
            </w:r>
          </w:p>
        </w:tc>
        <w:tc>
          <w:tcPr>
            <w:tcW w:w="2756" w:type="pct"/>
            <w:shd w:val="clear" w:color="auto" w:fill="auto"/>
            <w:vAlign w:val="center"/>
          </w:tcPr>
          <w:p w14:paraId="5B4D1C36" w14:textId="77777777" w:rsidR="00D11D56" w:rsidRPr="00197953" w:rsidRDefault="00D11D56" w:rsidP="007221C8">
            <w:pPr>
              <w:jc w:val="center"/>
              <w:rPr>
                <w:bCs/>
                <w:sz w:val="20"/>
                <w:szCs w:val="20"/>
              </w:rPr>
            </w:pPr>
            <w:r w:rsidRPr="00197953">
              <w:rPr>
                <w:bCs/>
                <w:sz w:val="20"/>
                <w:szCs w:val="20"/>
              </w:rPr>
              <w:t>2%</w:t>
            </w:r>
          </w:p>
        </w:tc>
      </w:tr>
      <w:tr w:rsidR="00D11D56" w:rsidRPr="00197953" w14:paraId="76CC29E8" w14:textId="77777777" w:rsidTr="00C74D45">
        <w:trPr>
          <w:jc w:val="center"/>
        </w:trPr>
        <w:tc>
          <w:tcPr>
            <w:tcW w:w="2244" w:type="pct"/>
            <w:shd w:val="clear" w:color="auto" w:fill="auto"/>
            <w:vAlign w:val="center"/>
          </w:tcPr>
          <w:p w14:paraId="0DFEEB75" w14:textId="77777777" w:rsidR="00D11D56" w:rsidRPr="00197953" w:rsidRDefault="00D11D56" w:rsidP="007221C8">
            <w:pPr>
              <w:jc w:val="center"/>
              <w:rPr>
                <w:bCs/>
                <w:sz w:val="20"/>
                <w:szCs w:val="20"/>
              </w:rPr>
            </w:pPr>
            <w:r w:rsidRPr="00197953">
              <w:rPr>
                <w:bCs/>
                <w:sz w:val="20"/>
                <w:szCs w:val="20"/>
              </w:rPr>
              <w:t>Consensus Median</w:t>
            </w:r>
          </w:p>
        </w:tc>
        <w:tc>
          <w:tcPr>
            <w:tcW w:w="2756" w:type="pct"/>
            <w:shd w:val="clear" w:color="auto" w:fill="auto"/>
            <w:vAlign w:val="center"/>
          </w:tcPr>
          <w:p w14:paraId="079B95BD" w14:textId="77777777" w:rsidR="00D11D56" w:rsidRPr="00197953" w:rsidRDefault="00D11D56" w:rsidP="007221C8">
            <w:pPr>
              <w:jc w:val="center"/>
              <w:rPr>
                <w:bCs/>
                <w:sz w:val="20"/>
                <w:szCs w:val="20"/>
              </w:rPr>
            </w:pPr>
            <w:r w:rsidRPr="00197953">
              <w:rPr>
                <w:bCs/>
                <w:sz w:val="20"/>
                <w:szCs w:val="20"/>
              </w:rPr>
              <w:t>2%</w:t>
            </w:r>
          </w:p>
        </w:tc>
      </w:tr>
    </w:tbl>
    <w:p w14:paraId="1170969B" w14:textId="77777777" w:rsidR="00907879" w:rsidRDefault="00907879" w:rsidP="00907879"/>
    <w:p w14:paraId="325F9797" w14:textId="77777777" w:rsidR="00E32AF6" w:rsidRDefault="00E32AF6" w:rsidP="00E32AF6">
      <w:pPr>
        <w:pStyle w:val="Heading2"/>
        <w:rPr>
          <w:rFonts w:asciiTheme="minorHAnsi" w:hAnsiTheme="minorHAnsi" w:cstheme="minorHAnsi"/>
        </w:rPr>
      </w:pPr>
      <w:r w:rsidRPr="009844A1">
        <w:rPr>
          <w:rFonts w:asciiTheme="minorHAnsi" w:hAnsiTheme="minorHAnsi" w:cstheme="minorHAnsi"/>
        </w:rPr>
        <w:t xml:space="preserve">1.6 Data </w:t>
      </w:r>
      <w:r>
        <w:rPr>
          <w:rFonts w:asciiTheme="minorHAnsi" w:hAnsiTheme="minorHAnsi" w:cstheme="minorHAnsi"/>
        </w:rPr>
        <w:t>Quality and Future Data Needs</w:t>
      </w:r>
    </w:p>
    <w:p w14:paraId="184751A7" w14:textId="77777777" w:rsidR="00E32AF6" w:rsidRDefault="00E32AF6" w:rsidP="00E32AF6">
      <w:pPr>
        <w:pStyle w:val="BodyText"/>
        <w:rPr>
          <w:rFonts w:ascii="Calibri" w:hAnsi="Calibri" w:cs="Calibri"/>
          <w:sz w:val="22"/>
        </w:rPr>
      </w:pPr>
      <w:r>
        <w:rPr>
          <w:rFonts w:ascii="Calibri" w:hAnsi="Calibri" w:cs="Calibri"/>
          <w:sz w:val="22"/>
        </w:rPr>
        <w:t>N/A</w:t>
      </w:r>
    </w:p>
    <w:p w14:paraId="6224E1D0" w14:textId="77777777" w:rsidR="00E16609" w:rsidRPr="00397406" w:rsidRDefault="00E16609" w:rsidP="00560934">
      <w:pPr>
        <w:pStyle w:val="Heading1"/>
        <w:keepNext w:val="0"/>
        <w:rPr>
          <w:rFonts w:cstheme="minorHAnsi"/>
        </w:rPr>
      </w:pPr>
      <w:r w:rsidRPr="00397406">
        <w:rPr>
          <w:rFonts w:cstheme="minorHAnsi"/>
        </w:rPr>
        <w:t>Section 2</w:t>
      </w:r>
      <w:r w:rsidR="001D3223" w:rsidRPr="00397406">
        <w:rPr>
          <w:rFonts w:cstheme="minorHAnsi"/>
        </w:rPr>
        <w:t>:</w:t>
      </w:r>
      <w:r w:rsidRPr="00397406">
        <w:rPr>
          <w:rFonts w:cstheme="minorHAnsi"/>
        </w:rPr>
        <w:t xml:space="preserve"> Calculation</w:t>
      </w:r>
      <w:bookmarkEnd w:id="16"/>
      <w:r w:rsidR="00755A45" w:rsidRPr="00397406">
        <w:rPr>
          <w:rFonts w:cstheme="minorHAnsi"/>
        </w:rPr>
        <w:t xml:space="preserve"> Methodology</w:t>
      </w:r>
    </w:p>
    <w:p w14:paraId="3BF7E026" w14:textId="2AF21150" w:rsidR="00D11D56" w:rsidRDefault="00D11D56" w:rsidP="00D11D56">
      <w:pPr>
        <w:rPr>
          <w:szCs w:val="22"/>
        </w:rPr>
      </w:pPr>
      <w:r>
        <w:rPr>
          <w:szCs w:val="22"/>
        </w:rPr>
        <w:t xml:space="preserve">Energy savings and demand reduction were estimated by performing eQUEST </w:t>
      </w:r>
      <w:r>
        <w:rPr>
          <w:szCs w:val="22"/>
        </w:rPr>
        <w:fldChar w:fldCharType="begin"/>
      </w:r>
      <w:r>
        <w:rPr>
          <w:szCs w:val="22"/>
        </w:rPr>
        <w:instrText xml:space="preserve"> REF _Ref386195297 \r \h </w:instrText>
      </w:r>
      <w:r>
        <w:rPr>
          <w:szCs w:val="22"/>
        </w:rPr>
      </w:r>
      <w:r>
        <w:rPr>
          <w:szCs w:val="22"/>
        </w:rPr>
        <w:fldChar w:fldCharType="separate"/>
      </w:r>
      <w:r>
        <w:rPr>
          <w:szCs w:val="22"/>
        </w:rPr>
        <w:t>[</w:t>
      </w:r>
      <w:r w:rsidR="009F2B96">
        <w:rPr>
          <w:szCs w:val="22"/>
        </w:rPr>
        <w:t>F</w:t>
      </w:r>
      <w:r>
        <w:rPr>
          <w:szCs w:val="22"/>
        </w:rPr>
        <w:t>]</w:t>
      </w:r>
      <w:r>
        <w:rPr>
          <w:szCs w:val="22"/>
        </w:rPr>
        <w:fldChar w:fldCharType="end"/>
      </w:r>
      <w:r>
        <w:rPr>
          <w:szCs w:val="22"/>
        </w:rPr>
        <w:t xml:space="preserve"> simulations. This is because these are non-DEER measures. The simulations used the DEER prototypes described in Section 1.4.1 as the baseline case. Keyword changes were then completed to simulate an improvement in fan system efficiency, and corresponding reduction in fan heat added to the airstream.</w:t>
      </w:r>
    </w:p>
    <w:p w14:paraId="6C791B8E" w14:textId="77777777" w:rsidR="00CD5F03" w:rsidRDefault="00CD5F03" w:rsidP="00D11D56">
      <w:pPr>
        <w:rPr>
          <w:szCs w:val="22"/>
        </w:rPr>
      </w:pPr>
    </w:p>
    <w:p w14:paraId="3E21E01C" w14:textId="77777777" w:rsidR="00183AB2" w:rsidRPr="0026787D" w:rsidRDefault="00183AB2" w:rsidP="00183AB2">
      <w:pPr>
        <w:pStyle w:val="Heading2"/>
      </w:pPr>
      <w:bookmarkStart w:id="17" w:name="_Toc300053743"/>
      <w:bookmarkStart w:id="18" w:name="_Toc390445335"/>
      <w:bookmarkStart w:id="19" w:name="_Toc214003093"/>
      <w:r>
        <w:t xml:space="preserve">2.1 </w:t>
      </w:r>
      <w:r w:rsidRPr="00C74D45">
        <w:rPr>
          <w:rFonts w:asciiTheme="minorHAnsi" w:hAnsiTheme="minorHAnsi" w:cstheme="minorHAnsi"/>
        </w:rPr>
        <w:t>Energy Simulation with eQUEST</w:t>
      </w:r>
      <w:bookmarkEnd w:id="17"/>
      <w:bookmarkEnd w:id="18"/>
    </w:p>
    <w:p w14:paraId="54101354" w14:textId="289A8A58" w:rsidR="00D9073C" w:rsidRDefault="00183AB2" w:rsidP="00183AB2">
      <w:pPr>
        <w:rPr>
          <w:szCs w:val="22"/>
        </w:rPr>
      </w:pPr>
      <w:r>
        <w:rPr>
          <w:szCs w:val="22"/>
        </w:rPr>
        <w:t xml:space="preserve">eQUEST </w:t>
      </w:r>
      <w:r w:rsidRPr="0026787D">
        <w:rPr>
          <w:szCs w:val="22"/>
        </w:rPr>
        <w:t>is a DOE2</w:t>
      </w:r>
      <w:r>
        <w:rPr>
          <w:rStyle w:val="FootnoteReference"/>
          <w:szCs w:val="22"/>
        </w:rPr>
        <w:footnoteReference w:id="1"/>
      </w:r>
      <w:r w:rsidRPr="0026787D">
        <w:rPr>
          <w:szCs w:val="22"/>
        </w:rPr>
        <w:t xml:space="preserve"> based simulation software package used to produce estimates of energy</w:t>
      </w:r>
      <w:r w:rsidR="0052131D">
        <w:rPr>
          <w:szCs w:val="22"/>
        </w:rPr>
        <w:t xml:space="preserve"> a</w:t>
      </w:r>
      <w:r w:rsidR="009558E7">
        <w:rPr>
          <w:szCs w:val="22"/>
        </w:rPr>
        <w:t>nd demand in buildings</w:t>
      </w:r>
      <w:r w:rsidR="0052131D">
        <w:rPr>
          <w:szCs w:val="22"/>
        </w:rPr>
        <w:t xml:space="preserve">. </w:t>
      </w:r>
      <w:r w:rsidRPr="0026787D">
        <w:rPr>
          <w:szCs w:val="22"/>
        </w:rPr>
        <w:t xml:space="preserve">The DEER non-residential </w:t>
      </w:r>
      <w:r w:rsidR="009558E7">
        <w:rPr>
          <w:szCs w:val="22"/>
        </w:rPr>
        <w:t xml:space="preserve">building </w:t>
      </w:r>
      <w:r w:rsidRPr="0026787D">
        <w:rPr>
          <w:szCs w:val="22"/>
        </w:rPr>
        <w:t>prototypes</w:t>
      </w:r>
      <w:r>
        <w:rPr>
          <w:szCs w:val="22"/>
        </w:rPr>
        <w:t xml:space="preserve"> </w:t>
      </w:r>
      <w:r w:rsidRPr="0026787D">
        <w:rPr>
          <w:szCs w:val="22"/>
        </w:rPr>
        <w:t>were simulated using eQUEST-3.6</w:t>
      </w:r>
      <w:r>
        <w:rPr>
          <w:szCs w:val="22"/>
        </w:rPr>
        <w:t>4, consisting of</w:t>
      </w:r>
      <w:r w:rsidRPr="0026787D">
        <w:rPr>
          <w:szCs w:val="22"/>
        </w:rPr>
        <w:t xml:space="preserve"> </w:t>
      </w:r>
      <w:r w:rsidR="001A6FE5">
        <w:rPr>
          <w:szCs w:val="22"/>
        </w:rPr>
        <w:t>21</w:t>
      </w:r>
      <w:r>
        <w:rPr>
          <w:szCs w:val="22"/>
        </w:rPr>
        <w:t xml:space="preserve"> different building types</w:t>
      </w:r>
      <w:r w:rsidRPr="0026787D">
        <w:rPr>
          <w:szCs w:val="22"/>
        </w:rPr>
        <w:t>.</w:t>
      </w:r>
      <w:r>
        <w:rPr>
          <w:szCs w:val="22"/>
        </w:rPr>
        <w:t xml:space="preserve"> The </w:t>
      </w:r>
      <w:r w:rsidR="003732D0">
        <w:rPr>
          <w:szCs w:val="22"/>
        </w:rPr>
        <w:t>2</w:t>
      </w:r>
      <w:r w:rsidR="00A50D3F">
        <w:rPr>
          <w:szCs w:val="22"/>
        </w:rPr>
        <w:t>1</w:t>
      </w:r>
      <w:r w:rsidR="003732D0">
        <w:rPr>
          <w:szCs w:val="22"/>
        </w:rPr>
        <w:t xml:space="preserve"> </w:t>
      </w:r>
      <w:r>
        <w:rPr>
          <w:szCs w:val="22"/>
        </w:rPr>
        <w:t xml:space="preserve">DEER non-residential building types were simulated with three different HVAC unit types: AC Only, Gas Packs, and Heat Pumps. The only building type that does not have all three HVAC unit types available through MASControl is the “Education – Relocatable Classroom” which </w:t>
      </w:r>
      <w:r w:rsidR="00862C3D">
        <w:rPr>
          <w:szCs w:val="22"/>
        </w:rPr>
        <w:t>can only be produced with a gas pack</w:t>
      </w:r>
      <w:r>
        <w:rPr>
          <w:szCs w:val="22"/>
        </w:rPr>
        <w:t xml:space="preserve">. All </w:t>
      </w:r>
      <w:r w:rsidR="00781CEB">
        <w:rPr>
          <w:szCs w:val="22"/>
        </w:rPr>
        <w:t>2</w:t>
      </w:r>
      <w:r w:rsidR="005D6C0F">
        <w:rPr>
          <w:szCs w:val="22"/>
        </w:rPr>
        <w:t>1</w:t>
      </w:r>
      <w:r w:rsidR="00781CEB">
        <w:rPr>
          <w:szCs w:val="22"/>
        </w:rPr>
        <w:t xml:space="preserve"> </w:t>
      </w:r>
      <w:r>
        <w:rPr>
          <w:szCs w:val="22"/>
        </w:rPr>
        <w:t xml:space="preserve">DEER non-residential building types are </w:t>
      </w:r>
      <w:r w:rsidR="00781CEB">
        <w:rPr>
          <w:szCs w:val="22"/>
        </w:rPr>
        <w:t>in table</w:t>
      </w:r>
      <w:r w:rsidR="002C1723">
        <w:rPr>
          <w:szCs w:val="22"/>
        </w:rPr>
        <w:t xml:space="preserve"> below</w:t>
      </w:r>
      <w:r w:rsidR="00781CEB">
        <w:rPr>
          <w:szCs w:val="22"/>
        </w:rPr>
        <w:t xml:space="preserve"> </w:t>
      </w:r>
      <w:r>
        <w:rPr>
          <w:szCs w:val="22"/>
        </w:rPr>
        <w:t>with an “X” indicating when the building type was simulated with the corresponding HVAC unit type. The AC Only unit type was not simulated, instead using the results from the Gas Pack simulations and ignoring the therm energy use.</w:t>
      </w:r>
    </w:p>
    <w:p w14:paraId="07C24CF2" w14:textId="77777777" w:rsidR="00D9073C" w:rsidRPr="0026787D" w:rsidRDefault="00D9073C" w:rsidP="00183AB2">
      <w:pPr>
        <w:rPr>
          <w:szCs w:val="22"/>
        </w:rPr>
      </w:pPr>
    </w:p>
    <w:p w14:paraId="440E81B5" w14:textId="68EFFC35" w:rsidR="00183AB2" w:rsidRDefault="00183AB2" w:rsidP="00183AB2">
      <w:pPr>
        <w:pStyle w:val="Caption"/>
        <w:keepNext/>
        <w:jc w:val="center"/>
      </w:pPr>
      <w:r w:rsidRPr="0001599B">
        <w:rPr>
          <w:rFonts w:cs="Calibri"/>
          <w:szCs w:val="22"/>
        </w:rPr>
        <w:lastRenderedPageBreak/>
        <w:t xml:space="preserve">DEER Prototype Non-residential </w:t>
      </w:r>
      <w:r>
        <w:rPr>
          <w:rFonts w:cs="Calibri"/>
          <w:szCs w:val="22"/>
        </w:rPr>
        <w:t>Building Types Simulated per HVAC Type</w:t>
      </w:r>
    </w:p>
    <w:tbl>
      <w:tblPr>
        <w:tblW w:w="8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0"/>
        <w:gridCol w:w="1420"/>
        <w:gridCol w:w="1340"/>
        <w:gridCol w:w="1340"/>
        <w:gridCol w:w="1340"/>
      </w:tblGrid>
      <w:tr w:rsidR="00183AB2" w:rsidRPr="00E3370F" w14:paraId="781FD8D5" w14:textId="77777777" w:rsidTr="00C74D45">
        <w:trPr>
          <w:trHeight w:val="615"/>
        </w:trPr>
        <w:tc>
          <w:tcPr>
            <w:tcW w:w="3220" w:type="dxa"/>
            <w:shd w:val="clear" w:color="000000" w:fill="BFBFBF"/>
            <w:vAlign w:val="center"/>
            <w:hideMark/>
          </w:tcPr>
          <w:p w14:paraId="7B92D384" w14:textId="77777777" w:rsidR="00183AB2" w:rsidRPr="00E3370F" w:rsidRDefault="00183AB2" w:rsidP="007221C8">
            <w:pPr>
              <w:jc w:val="center"/>
              <w:rPr>
                <w:rFonts w:ascii="Calibri" w:hAnsi="Calibri" w:cs="Calibri"/>
                <w:b/>
                <w:bCs/>
                <w:color w:val="000000"/>
                <w:sz w:val="20"/>
                <w:szCs w:val="20"/>
              </w:rPr>
            </w:pPr>
            <w:r w:rsidRPr="00E3370F">
              <w:rPr>
                <w:rFonts w:ascii="Calibri" w:hAnsi="Calibri" w:cs="Calibri"/>
                <w:b/>
                <w:bCs/>
                <w:color w:val="000000"/>
                <w:sz w:val="20"/>
                <w:szCs w:val="20"/>
              </w:rPr>
              <w:t>Building</w:t>
            </w:r>
            <w:r w:rsidRPr="00E3370F">
              <w:rPr>
                <w:rFonts w:ascii="Calibri" w:hAnsi="Calibri" w:cs="Calibri"/>
                <w:b/>
                <w:bCs/>
                <w:color w:val="000000"/>
                <w:sz w:val="16"/>
                <w:szCs w:val="16"/>
              </w:rPr>
              <w:t> </w:t>
            </w:r>
            <w:r w:rsidRPr="00E3370F">
              <w:rPr>
                <w:rFonts w:ascii="Calibri" w:hAnsi="Calibri" w:cs="Calibri"/>
                <w:b/>
                <w:bCs/>
                <w:color w:val="000000"/>
                <w:sz w:val="20"/>
                <w:szCs w:val="20"/>
              </w:rPr>
              <w:t xml:space="preserve"> Type</w:t>
            </w:r>
          </w:p>
        </w:tc>
        <w:tc>
          <w:tcPr>
            <w:tcW w:w="1420" w:type="dxa"/>
            <w:shd w:val="clear" w:color="000000" w:fill="BFBFBF"/>
            <w:vAlign w:val="center"/>
            <w:hideMark/>
          </w:tcPr>
          <w:p w14:paraId="4AC97C31" w14:textId="77777777" w:rsidR="00183AB2" w:rsidRPr="00E3370F" w:rsidRDefault="00183AB2" w:rsidP="007221C8">
            <w:pPr>
              <w:jc w:val="center"/>
              <w:rPr>
                <w:rFonts w:ascii="Calibri" w:hAnsi="Calibri" w:cs="Calibri"/>
                <w:b/>
                <w:bCs/>
                <w:color w:val="000000"/>
                <w:sz w:val="20"/>
                <w:szCs w:val="20"/>
              </w:rPr>
            </w:pPr>
            <w:r w:rsidRPr="00E3370F">
              <w:rPr>
                <w:rFonts w:ascii="Calibri" w:hAnsi="Calibri" w:cs="Calibri"/>
                <w:b/>
                <w:bCs/>
                <w:color w:val="000000"/>
                <w:sz w:val="20"/>
                <w:szCs w:val="20"/>
              </w:rPr>
              <w:t>Abbreviated Building Types</w:t>
            </w:r>
          </w:p>
        </w:tc>
        <w:tc>
          <w:tcPr>
            <w:tcW w:w="1340" w:type="dxa"/>
            <w:shd w:val="clear" w:color="000000" w:fill="BFBFBF"/>
            <w:vAlign w:val="center"/>
            <w:hideMark/>
          </w:tcPr>
          <w:p w14:paraId="2EAE4CC7" w14:textId="77777777" w:rsidR="00183AB2" w:rsidRPr="00E3370F" w:rsidRDefault="00183AB2" w:rsidP="007221C8">
            <w:pPr>
              <w:jc w:val="center"/>
              <w:rPr>
                <w:rFonts w:ascii="Calibri" w:hAnsi="Calibri" w:cs="Calibri"/>
                <w:b/>
                <w:bCs/>
                <w:color w:val="000000"/>
                <w:sz w:val="20"/>
                <w:szCs w:val="20"/>
              </w:rPr>
            </w:pPr>
            <w:r w:rsidRPr="00E3370F">
              <w:rPr>
                <w:rFonts w:ascii="Calibri" w:hAnsi="Calibri" w:cs="Calibri"/>
                <w:b/>
                <w:bCs/>
                <w:color w:val="000000"/>
                <w:sz w:val="20"/>
                <w:szCs w:val="20"/>
              </w:rPr>
              <w:t>AC Only</w:t>
            </w:r>
          </w:p>
        </w:tc>
        <w:tc>
          <w:tcPr>
            <w:tcW w:w="1340" w:type="dxa"/>
            <w:shd w:val="clear" w:color="000000" w:fill="BFBFBF"/>
            <w:vAlign w:val="center"/>
            <w:hideMark/>
          </w:tcPr>
          <w:p w14:paraId="6FC43420" w14:textId="77777777" w:rsidR="00183AB2" w:rsidRPr="00E3370F" w:rsidRDefault="00183AB2" w:rsidP="007221C8">
            <w:pPr>
              <w:jc w:val="center"/>
              <w:rPr>
                <w:rFonts w:ascii="Calibri" w:hAnsi="Calibri" w:cs="Calibri"/>
                <w:b/>
                <w:bCs/>
                <w:color w:val="000000"/>
                <w:sz w:val="20"/>
                <w:szCs w:val="20"/>
              </w:rPr>
            </w:pPr>
            <w:r w:rsidRPr="00E3370F">
              <w:rPr>
                <w:rFonts w:ascii="Calibri" w:hAnsi="Calibri" w:cs="Calibri"/>
                <w:b/>
                <w:bCs/>
                <w:color w:val="000000"/>
                <w:sz w:val="20"/>
                <w:szCs w:val="20"/>
              </w:rPr>
              <w:t>Gas Pack</w:t>
            </w:r>
          </w:p>
        </w:tc>
        <w:tc>
          <w:tcPr>
            <w:tcW w:w="1340" w:type="dxa"/>
            <w:shd w:val="clear" w:color="000000" w:fill="BFBFBF"/>
            <w:vAlign w:val="center"/>
            <w:hideMark/>
          </w:tcPr>
          <w:p w14:paraId="5510948D" w14:textId="77777777" w:rsidR="00183AB2" w:rsidRPr="00E3370F" w:rsidRDefault="00183AB2" w:rsidP="007221C8">
            <w:pPr>
              <w:jc w:val="center"/>
              <w:rPr>
                <w:rFonts w:ascii="Calibri" w:hAnsi="Calibri" w:cs="Calibri"/>
                <w:b/>
                <w:bCs/>
                <w:color w:val="000000"/>
                <w:sz w:val="20"/>
                <w:szCs w:val="20"/>
              </w:rPr>
            </w:pPr>
            <w:r w:rsidRPr="00E3370F">
              <w:rPr>
                <w:rFonts w:ascii="Calibri" w:hAnsi="Calibri" w:cs="Calibri"/>
                <w:b/>
                <w:bCs/>
                <w:color w:val="000000"/>
                <w:sz w:val="20"/>
                <w:szCs w:val="20"/>
              </w:rPr>
              <w:t>Heat Pump</w:t>
            </w:r>
          </w:p>
        </w:tc>
      </w:tr>
      <w:tr w:rsidR="00183AB2" w:rsidRPr="00E3370F" w14:paraId="29E9E4E2" w14:textId="77777777" w:rsidTr="00C74D45">
        <w:trPr>
          <w:trHeight w:val="345"/>
        </w:trPr>
        <w:tc>
          <w:tcPr>
            <w:tcW w:w="3220" w:type="dxa"/>
            <w:shd w:val="clear" w:color="auto" w:fill="auto"/>
            <w:vAlign w:val="center"/>
            <w:hideMark/>
          </w:tcPr>
          <w:p w14:paraId="78CE6DFE"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Assembly</w:t>
            </w:r>
          </w:p>
        </w:tc>
        <w:tc>
          <w:tcPr>
            <w:tcW w:w="1420" w:type="dxa"/>
            <w:shd w:val="clear" w:color="auto" w:fill="auto"/>
            <w:vAlign w:val="center"/>
            <w:hideMark/>
          </w:tcPr>
          <w:p w14:paraId="225EAAFA"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Asm</w:t>
            </w:r>
          </w:p>
        </w:tc>
        <w:tc>
          <w:tcPr>
            <w:tcW w:w="1340" w:type="dxa"/>
            <w:shd w:val="clear" w:color="auto" w:fill="auto"/>
            <w:vAlign w:val="center"/>
            <w:hideMark/>
          </w:tcPr>
          <w:p w14:paraId="24D1FC7C"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26CFD559"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0E3888EF"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5AA467F0" w14:textId="77777777" w:rsidTr="00C74D45">
        <w:trPr>
          <w:trHeight w:val="345"/>
        </w:trPr>
        <w:tc>
          <w:tcPr>
            <w:tcW w:w="3220" w:type="dxa"/>
            <w:shd w:val="clear" w:color="auto" w:fill="auto"/>
            <w:vAlign w:val="center"/>
            <w:hideMark/>
          </w:tcPr>
          <w:p w14:paraId="0CFE8474"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Education - Community College</w:t>
            </w:r>
          </w:p>
        </w:tc>
        <w:tc>
          <w:tcPr>
            <w:tcW w:w="1420" w:type="dxa"/>
            <w:shd w:val="clear" w:color="auto" w:fill="auto"/>
            <w:vAlign w:val="center"/>
            <w:hideMark/>
          </w:tcPr>
          <w:p w14:paraId="1B2BFB28"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ECC</w:t>
            </w:r>
          </w:p>
        </w:tc>
        <w:tc>
          <w:tcPr>
            <w:tcW w:w="1340" w:type="dxa"/>
            <w:shd w:val="clear" w:color="auto" w:fill="auto"/>
            <w:vAlign w:val="center"/>
            <w:hideMark/>
          </w:tcPr>
          <w:p w14:paraId="014EFD09"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4E4DEB08"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1E3E648E"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7BA1444A" w14:textId="77777777" w:rsidTr="00C74D45">
        <w:trPr>
          <w:trHeight w:val="345"/>
        </w:trPr>
        <w:tc>
          <w:tcPr>
            <w:tcW w:w="3220" w:type="dxa"/>
            <w:shd w:val="clear" w:color="auto" w:fill="auto"/>
            <w:vAlign w:val="center"/>
            <w:hideMark/>
          </w:tcPr>
          <w:p w14:paraId="70343F8C"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Education - Primary School</w:t>
            </w:r>
          </w:p>
        </w:tc>
        <w:tc>
          <w:tcPr>
            <w:tcW w:w="1420" w:type="dxa"/>
            <w:shd w:val="clear" w:color="auto" w:fill="auto"/>
            <w:vAlign w:val="center"/>
            <w:hideMark/>
          </w:tcPr>
          <w:p w14:paraId="1F76C424"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EPr</w:t>
            </w:r>
          </w:p>
        </w:tc>
        <w:tc>
          <w:tcPr>
            <w:tcW w:w="1340" w:type="dxa"/>
            <w:shd w:val="clear" w:color="auto" w:fill="auto"/>
            <w:vAlign w:val="center"/>
            <w:hideMark/>
          </w:tcPr>
          <w:p w14:paraId="2A4F4A4F"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3EE27923"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114E15A6"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15103766" w14:textId="77777777" w:rsidTr="00C74D45">
        <w:trPr>
          <w:trHeight w:val="345"/>
        </w:trPr>
        <w:tc>
          <w:tcPr>
            <w:tcW w:w="3220" w:type="dxa"/>
            <w:shd w:val="clear" w:color="auto" w:fill="auto"/>
            <w:vAlign w:val="center"/>
            <w:hideMark/>
          </w:tcPr>
          <w:p w14:paraId="74C5B38E"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Education - Relocatable Classroom</w:t>
            </w:r>
          </w:p>
        </w:tc>
        <w:tc>
          <w:tcPr>
            <w:tcW w:w="1420" w:type="dxa"/>
            <w:shd w:val="clear" w:color="auto" w:fill="auto"/>
            <w:vAlign w:val="center"/>
            <w:hideMark/>
          </w:tcPr>
          <w:p w14:paraId="5F864558"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ERC</w:t>
            </w:r>
          </w:p>
        </w:tc>
        <w:tc>
          <w:tcPr>
            <w:tcW w:w="1340" w:type="dxa"/>
            <w:shd w:val="clear" w:color="auto" w:fill="auto"/>
            <w:vAlign w:val="center"/>
            <w:hideMark/>
          </w:tcPr>
          <w:p w14:paraId="3D1F3D6D"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72844D1F"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588F85E3"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 </w:t>
            </w:r>
          </w:p>
        </w:tc>
      </w:tr>
      <w:tr w:rsidR="00183AB2" w:rsidRPr="00E3370F" w14:paraId="0920F76C" w14:textId="77777777" w:rsidTr="00C74D45">
        <w:trPr>
          <w:trHeight w:val="345"/>
        </w:trPr>
        <w:tc>
          <w:tcPr>
            <w:tcW w:w="3220" w:type="dxa"/>
            <w:shd w:val="clear" w:color="auto" w:fill="auto"/>
            <w:vAlign w:val="center"/>
            <w:hideMark/>
          </w:tcPr>
          <w:p w14:paraId="2A2A070B"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Education - Secondary School</w:t>
            </w:r>
          </w:p>
        </w:tc>
        <w:tc>
          <w:tcPr>
            <w:tcW w:w="1420" w:type="dxa"/>
            <w:shd w:val="clear" w:color="auto" w:fill="auto"/>
            <w:vAlign w:val="center"/>
            <w:hideMark/>
          </w:tcPr>
          <w:p w14:paraId="295CF34F" w14:textId="3635782B"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w:t>
            </w:r>
            <w:r w:rsidR="00052027" w:rsidRPr="00E3370F">
              <w:rPr>
                <w:rFonts w:ascii="Calibri" w:hAnsi="Calibri" w:cs="Calibri"/>
                <w:color w:val="000000"/>
                <w:sz w:val="20"/>
                <w:szCs w:val="20"/>
              </w:rPr>
              <w:t>s</w:t>
            </w:r>
            <w:r w:rsidRPr="00E3370F">
              <w:rPr>
                <w:rFonts w:ascii="Calibri" w:hAnsi="Calibri" w:cs="Calibri"/>
                <w:color w:val="000000"/>
                <w:sz w:val="20"/>
                <w:szCs w:val="20"/>
              </w:rPr>
              <w:t>e</w:t>
            </w:r>
          </w:p>
        </w:tc>
        <w:tc>
          <w:tcPr>
            <w:tcW w:w="1340" w:type="dxa"/>
            <w:shd w:val="clear" w:color="auto" w:fill="auto"/>
            <w:vAlign w:val="center"/>
            <w:hideMark/>
          </w:tcPr>
          <w:p w14:paraId="6DEEEE05"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022E2B3C"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403D4230"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16DC9BE2" w14:textId="77777777" w:rsidTr="00C74D45">
        <w:trPr>
          <w:trHeight w:val="345"/>
        </w:trPr>
        <w:tc>
          <w:tcPr>
            <w:tcW w:w="3220" w:type="dxa"/>
            <w:shd w:val="clear" w:color="auto" w:fill="auto"/>
            <w:vAlign w:val="center"/>
            <w:hideMark/>
          </w:tcPr>
          <w:p w14:paraId="50C09564"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Education - University</w:t>
            </w:r>
          </w:p>
        </w:tc>
        <w:tc>
          <w:tcPr>
            <w:tcW w:w="1420" w:type="dxa"/>
            <w:shd w:val="clear" w:color="auto" w:fill="auto"/>
            <w:vAlign w:val="center"/>
            <w:hideMark/>
          </w:tcPr>
          <w:p w14:paraId="07300F26"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EUn</w:t>
            </w:r>
          </w:p>
        </w:tc>
        <w:tc>
          <w:tcPr>
            <w:tcW w:w="1340" w:type="dxa"/>
            <w:shd w:val="clear" w:color="auto" w:fill="auto"/>
            <w:vAlign w:val="center"/>
            <w:hideMark/>
          </w:tcPr>
          <w:p w14:paraId="59C1D4E8"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7C11B9A5"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4F0BE853"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3732D0" w:rsidRPr="00E3370F" w14:paraId="7A272236" w14:textId="77777777" w:rsidTr="00E20AC9">
        <w:trPr>
          <w:trHeight w:val="345"/>
        </w:trPr>
        <w:tc>
          <w:tcPr>
            <w:tcW w:w="3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5890E" w14:textId="77777777" w:rsidR="003732D0" w:rsidRPr="00E3370F" w:rsidRDefault="003732D0" w:rsidP="00E20AC9">
            <w:pPr>
              <w:jc w:val="center"/>
              <w:rPr>
                <w:rFonts w:ascii="Calibri" w:hAnsi="Calibri" w:cs="Calibri"/>
                <w:color w:val="000000"/>
                <w:sz w:val="20"/>
                <w:szCs w:val="20"/>
              </w:rPr>
            </w:pPr>
            <w:r>
              <w:rPr>
                <w:rFonts w:ascii="Calibri" w:hAnsi="Calibri" w:cs="Calibri"/>
                <w:color w:val="000000"/>
                <w:sz w:val="20"/>
                <w:szCs w:val="20"/>
              </w:rPr>
              <w:t>Grocery</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7A02D" w14:textId="77777777" w:rsidR="003732D0" w:rsidRPr="00E3370F" w:rsidRDefault="003732D0" w:rsidP="00E20AC9">
            <w:pPr>
              <w:jc w:val="center"/>
              <w:rPr>
                <w:rFonts w:ascii="Calibri" w:hAnsi="Calibri" w:cs="Calibri"/>
                <w:color w:val="000000"/>
                <w:sz w:val="20"/>
                <w:szCs w:val="20"/>
              </w:rPr>
            </w:pPr>
            <w:r>
              <w:rPr>
                <w:rFonts w:ascii="Calibri" w:hAnsi="Calibri" w:cs="Calibri"/>
                <w:color w:val="000000"/>
                <w:sz w:val="20"/>
                <w:szCs w:val="20"/>
              </w:rPr>
              <w:t>Gro</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99C3" w14:textId="77777777" w:rsidR="003732D0" w:rsidRPr="00B72DCB" w:rsidRDefault="003732D0" w:rsidP="00E20AC9">
            <w:pPr>
              <w:jc w:val="center"/>
              <w:rPr>
                <w:rFonts w:ascii="Calibri" w:hAnsi="Calibri" w:cs="Calibri"/>
                <w:b/>
                <w:color w:val="000000"/>
                <w:sz w:val="20"/>
                <w:szCs w:val="20"/>
              </w:rPr>
            </w:pPr>
            <w:r>
              <w:rPr>
                <w:rFonts w:ascii="Calibri" w:hAnsi="Calibri" w:cs="Calibri"/>
                <w:b/>
                <w:color w:val="000000"/>
                <w:sz w:val="20"/>
                <w:szCs w:val="20"/>
              </w:rPr>
              <w:t>X</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FCF9E" w14:textId="77777777" w:rsidR="003732D0" w:rsidRPr="00B72DCB" w:rsidRDefault="003732D0" w:rsidP="00E20AC9">
            <w:pPr>
              <w:jc w:val="center"/>
              <w:rPr>
                <w:rFonts w:ascii="Calibri" w:hAnsi="Calibri" w:cs="Calibri"/>
                <w:b/>
                <w:color w:val="000000"/>
                <w:sz w:val="20"/>
                <w:szCs w:val="20"/>
              </w:rPr>
            </w:pPr>
            <w:r>
              <w:rPr>
                <w:rFonts w:ascii="Calibri" w:hAnsi="Calibri" w:cs="Calibri"/>
                <w:b/>
                <w:color w:val="000000"/>
                <w:sz w:val="20"/>
                <w:szCs w:val="20"/>
              </w:rPr>
              <w:t>X</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CAAF5" w14:textId="77777777" w:rsidR="003732D0" w:rsidRPr="00B72DCB" w:rsidRDefault="003732D0" w:rsidP="00E20AC9">
            <w:pPr>
              <w:jc w:val="center"/>
              <w:rPr>
                <w:rFonts w:ascii="Calibri" w:hAnsi="Calibri" w:cs="Calibri"/>
                <w:b/>
                <w:color w:val="000000"/>
                <w:sz w:val="20"/>
                <w:szCs w:val="20"/>
              </w:rPr>
            </w:pPr>
            <w:r>
              <w:rPr>
                <w:rFonts w:ascii="Calibri" w:hAnsi="Calibri" w:cs="Calibri"/>
                <w:b/>
                <w:color w:val="000000"/>
                <w:sz w:val="20"/>
                <w:szCs w:val="20"/>
              </w:rPr>
              <w:t>X</w:t>
            </w:r>
          </w:p>
        </w:tc>
      </w:tr>
      <w:tr w:rsidR="00183AB2" w:rsidRPr="00E3370F" w14:paraId="1C0C0049" w14:textId="77777777" w:rsidTr="00C74D45">
        <w:trPr>
          <w:trHeight w:val="345"/>
        </w:trPr>
        <w:tc>
          <w:tcPr>
            <w:tcW w:w="3220" w:type="dxa"/>
            <w:shd w:val="clear" w:color="auto" w:fill="auto"/>
            <w:vAlign w:val="center"/>
            <w:hideMark/>
          </w:tcPr>
          <w:p w14:paraId="2C2ACA19"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Health/Medical - Hospital</w:t>
            </w:r>
          </w:p>
        </w:tc>
        <w:tc>
          <w:tcPr>
            <w:tcW w:w="1420" w:type="dxa"/>
            <w:shd w:val="clear" w:color="auto" w:fill="auto"/>
            <w:vAlign w:val="center"/>
            <w:hideMark/>
          </w:tcPr>
          <w:p w14:paraId="0097DAC8"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Hsp</w:t>
            </w:r>
          </w:p>
        </w:tc>
        <w:tc>
          <w:tcPr>
            <w:tcW w:w="1340" w:type="dxa"/>
            <w:shd w:val="clear" w:color="auto" w:fill="auto"/>
            <w:vAlign w:val="center"/>
            <w:hideMark/>
          </w:tcPr>
          <w:p w14:paraId="5CB0D8E3"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077D5915"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6ECF26AF"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3732D0" w:rsidRPr="00E3370F" w14:paraId="3C461875" w14:textId="77777777" w:rsidTr="00E20AC9">
        <w:trPr>
          <w:trHeight w:val="345"/>
        </w:trPr>
        <w:tc>
          <w:tcPr>
            <w:tcW w:w="3220" w:type="dxa"/>
            <w:shd w:val="clear" w:color="auto" w:fill="auto"/>
            <w:vAlign w:val="center"/>
            <w:hideMark/>
          </w:tcPr>
          <w:p w14:paraId="0F36DE4D" w14:textId="77777777" w:rsidR="003732D0" w:rsidRPr="00E3370F" w:rsidRDefault="003732D0" w:rsidP="00E20AC9">
            <w:pPr>
              <w:jc w:val="center"/>
              <w:rPr>
                <w:rFonts w:ascii="Calibri" w:hAnsi="Calibri" w:cs="Calibri"/>
                <w:color w:val="000000"/>
                <w:sz w:val="20"/>
                <w:szCs w:val="20"/>
              </w:rPr>
            </w:pPr>
            <w:r w:rsidRPr="00E3370F">
              <w:rPr>
                <w:rFonts w:ascii="Calibri" w:hAnsi="Calibri" w:cs="Calibri"/>
                <w:color w:val="000000"/>
                <w:sz w:val="20"/>
                <w:szCs w:val="20"/>
              </w:rPr>
              <w:t>Health/Medical - Nursing Home</w:t>
            </w:r>
          </w:p>
        </w:tc>
        <w:tc>
          <w:tcPr>
            <w:tcW w:w="1420" w:type="dxa"/>
            <w:shd w:val="clear" w:color="auto" w:fill="auto"/>
            <w:vAlign w:val="center"/>
            <w:hideMark/>
          </w:tcPr>
          <w:p w14:paraId="46FAEE63" w14:textId="77777777" w:rsidR="003732D0" w:rsidRPr="00E3370F" w:rsidRDefault="003732D0" w:rsidP="00E20AC9">
            <w:pPr>
              <w:jc w:val="center"/>
              <w:rPr>
                <w:rFonts w:ascii="Calibri" w:hAnsi="Calibri" w:cs="Calibri"/>
                <w:color w:val="000000"/>
                <w:sz w:val="20"/>
                <w:szCs w:val="20"/>
              </w:rPr>
            </w:pPr>
            <w:r w:rsidRPr="00E3370F">
              <w:rPr>
                <w:rFonts w:ascii="Calibri" w:hAnsi="Calibri" w:cs="Calibri"/>
                <w:color w:val="000000"/>
                <w:sz w:val="20"/>
                <w:szCs w:val="20"/>
              </w:rPr>
              <w:t>Nrs</w:t>
            </w:r>
          </w:p>
        </w:tc>
        <w:tc>
          <w:tcPr>
            <w:tcW w:w="1340" w:type="dxa"/>
            <w:shd w:val="clear" w:color="auto" w:fill="auto"/>
            <w:vAlign w:val="center"/>
            <w:hideMark/>
          </w:tcPr>
          <w:p w14:paraId="23983192" w14:textId="77777777" w:rsidR="003732D0" w:rsidRPr="00B72DCB" w:rsidRDefault="003732D0" w:rsidP="00E20AC9">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20B26D35" w14:textId="77777777" w:rsidR="003732D0" w:rsidRPr="00B72DCB" w:rsidRDefault="003732D0" w:rsidP="00E20AC9">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78144272" w14:textId="77777777" w:rsidR="003732D0" w:rsidRPr="00B72DCB" w:rsidRDefault="003732D0" w:rsidP="00E20AC9">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3732D0" w:rsidRPr="00E3370F" w14:paraId="4E9C9D4D" w14:textId="77777777" w:rsidTr="00E20AC9">
        <w:trPr>
          <w:trHeight w:val="345"/>
        </w:trPr>
        <w:tc>
          <w:tcPr>
            <w:tcW w:w="3220" w:type="dxa"/>
            <w:shd w:val="clear" w:color="auto" w:fill="auto"/>
            <w:vAlign w:val="center"/>
            <w:hideMark/>
          </w:tcPr>
          <w:p w14:paraId="27817145" w14:textId="77777777" w:rsidR="003732D0" w:rsidRPr="00E3370F" w:rsidRDefault="003732D0" w:rsidP="00E20AC9">
            <w:pPr>
              <w:jc w:val="center"/>
              <w:rPr>
                <w:rFonts w:ascii="Calibri" w:hAnsi="Calibri" w:cs="Calibri"/>
                <w:color w:val="000000"/>
                <w:sz w:val="20"/>
                <w:szCs w:val="20"/>
              </w:rPr>
            </w:pPr>
            <w:r w:rsidRPr="00E3370F">
              <w:rPr>
                <w:rFonts w:ascii="Calibri" w:hAnsi="Calibri" w:cs="Calibri"/>
                <w:color w:val="000000"/>
                <w:sz w:val="20"/>
                <w:szCs w:val="20"/>
              </w:rPr>
              <w:t>Lodging - Hotel</w:t>
            </w:r>
          </w:p>
        </w:tc>
        <w:tc>
          <w:tcPr>
            <w:tcW w:w="1420" w:type="dxa"/>
            <w:shd w:val="clear" w:color="auto" w:fill="auto"/>
            <w:vAlign w:val="center"/>
            <w:hideMark/>
          </w:tcPr>
          <w:p w14:paraId="2BE320E9" w14:textId="77777777" w:rsidR="003732D0" w:rsidRPr="00E3370F" w:rsidRDefault="003732D0" w:rsidP="00E20AC9">
            <w:pPr>
              <w:jc w:val="center"/>
              <w:rPr>
                <w:rFonts w:ascii="Calibri" w:hAnsi="Calibri" w:cs="Calibri"/>
                <w:color w:val="000000"/>
                <w:sz w:val="20"/>
                <w:szCs w:val="20"/>
              </w:rPr>
            </w:pPr>
            <w:r w:rsidRPr="00E3370F">
              <w:rPr>
                <w:rFonts w:ascii="Calibri" w:hAnsi="Calibri" w:cs="Calibri"/>
                <w:color w:val="000000"/>
                <w:sz w:val="20"/>
                <w:szCs w:val="20"/>
              </w:rPr>
              <w:t>Htl</w:t>
            </w:r>
          </w:p>
        </w:tc>
        <w:tc>
          <w:tcPr>
            <w:tcW w:w="1340" w:type="dxa"/>
            <w:shd w:val="clear" w:color="auto" w:fill="auto"/>
            <w:vAlign w:val="center"/>
            <w:hideMark/>
          </w:tcPr>
          <w:p w14:paraId="43725101" w14:textId="77777777" w:rsidR="003732D0" w:rsidRPr="00B72DCB" w:rsidRDefault="003732D0" w:rsidP="00E20AC9">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139A5C59" w14:textId="77777777" w:rsidR="003732D0" w:rsidRPr="00B72DCB" w:rsidRDefault="003732D0" w:rsidP="00E20AC9">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23D572AA" w14:textId="77777777" w:rsidR="003732D0" w:rsidRPr="00B72DCB" w:rsidRDefault="003732D0" w:rsidP="00E20AC9">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A6FE5" w:rsidRPr="00E3370F" w14:paraId="01FFAE25" w14:textId="77777777" w:rsidTr="00C74D45">
        <w:trPr>
          <w:trHeight w:val="345"/>
        </w:trPr>
        <w:tc>
          <w:tcPr>
            <w:tcW w:w="3220" w:type="dxa"/>
            <w:shd w:val="clear" w:color="auto" w:fill="auto"/>
            <w:vAlign w:val="center"/>
          </w:tcPr>
          <w:p w14:paraId="1373BBFA" w14:textId="77777777" w:rsidR="001A6FE5" w:rsidRPr="00E3370F" w:rsidRDefault="001A6FE5" w:rsidP="007221C8">
            <w:pPr>
              <w:jc w:val="center"/>
              <w:rPr>
                <w:rFonts w:ascii="Calibri" w:hAnsi="Calibri" w:cs="Calibri"/>
                <w:color w:val="000000"/>
                <w:sz w:val="20"/>
                <w:szCs w:val="20"/>
              </w:rPr>
            </w:pPr>
            <w:r>
              <w:rPr>
                <w:rFonts w:ascii="Calibri" w:hAnsi="Calibri" w:cs="Calibri"/>
                <w:color w:val="000000"/>
                <w:sz w:val="20"/>
                <w:szCs w:val="20"/>
              </w:rPr>
              <w:t>Lodging - Motel</w:t>
            </w:r>
          </w:p>
        </w:tc>
        <w:tc>
          <w:tcPr>
            <w:tcW w:w="1420" w:type="dxa"/>
            <w:shd w:val="clear" w:color="auto" w:fill="auto"/>
            <w:vAlign w:val="center"/>
          </w:tcPr>
          <w:p w14:paraId="59FF15EC" w14:textId="77777777" w:rsidR="001A6FE5" w:rsidRPr="00E3370F" w:rsidRDefault="001A6FE5" w:rsidP="007221C8">
            <w:pPr>
              <w:jc w:val="center"/>
              <w:rPr>
                <w:rFonts w:ascii="Calibri" w:hAnsi="Calibri" w:cs="Calibri"/>
                <w:color w:val="000000"/>
                <w:sz w:val="20"/>
                <w:szCs w:val="20"/>
              </w:rPr>
            </w:pPr>
            <w:r>
              <w:rPr>
                <w:rFonts w:ascii="Calibri" w:hAnsi="Calibri" w:cs="Calibri"/>
                <w:color w:val="000000"/>
                <w:sz w:val="20"/>
                <w:szCs w:val="20"/>
              </w:rPr>
              <w:t>Mtl</w:t>
            </w:r>
          </w:p>
        </w:tc>
        <w:tc>
          <w:tcPr>
            <w:tcW w:w="1340" w:type="dxa"/>
            <w:shd w:val="clear" w:color="auto" w:fill="auto"/>
            <w:vAlign w:val="center"/>
          </w:tcPr>
          <w:p w14:paraId="29F8F01A" w14:textId="77777777" w:rsidR="001A6FE5" w:rsidRPr="00B72DCB" w:rsidRDefault="001A6FE5" w:rsidP="007221C8">
            <w:pPr>
              <w:jc w:val="center"/>
              <w:rPr>
                <w:rFonts w:ascii="Calibri" w:hAnsi="Calibri" w:cs="Calibri"/>
                <w:b/>
                <w:color w:val="000000"/>
                <w:sz w:val="20"/>
                <w:szCs w:val="20"/>
              </w:rPr>
            </w:pPr>
            <w:r>
              <w:rPr>
                <w:rFonts w:ascii="Calibri" w:hAnsi="Calibri" w:cs="Calibri"/>
                <w:b/>
                <w:color w:val="000000"/>
                <w:sz w:val="20"/>
                <w:szCs w:val="20"/>
              </w:rPr>
              <w:t>X</w:t>
            </w:r>
          </w:p>
        </w:tc>
        <w:tc>
          <w:tcPr>
            <w:tcW w:w="1340" w:type="dxa"/>
            <w:shd w:val="clear" w:color="auto" w:fill="auto"/>
            <w:vAlign w:val="center"/>
          </w:tcPr>
          <w:p w14:paraId="4E1FE877" w14:textId="77777777" w:rsidR="001A6FE5" w:rsidRPr="00B72DCB" w:rsidRDefault="001A6FE5" w:rsidP="007221C8">
            <w:pPr>
              <w:jc w:val="center"/>
              <w:rPr>
                <w:rFonts w:ascii="Calibri" w:hAnsi="Calibri" w:cs="Calibri"/>
                <w:b/>
                <w:color w:val="000000"/>
                <w:sz w:val="20"/>
                <w:szCs w:val="20"/>
              </w:rPr>
            </w:pPr>
            <w:r>
              <w:rPr>
                <w:rFonts w:ascii="Calibri" w:hAnsi="Calibri" w:cs="Calibri"/>
                <w:b/>
                <w:color w:val="000000"/>
                <w:sz w:val="20"/>
                <w:szCs w:val="20"/>
              </w:rPr>
              <w:t>X</w:t>
            </w:r>
          </w:p>
        </w:tc>
        <w:tc>
          <w:tcPr>
            <w:tcW w:w="1340" w:type="dxa"/>
            <w:shd w:val="clear" w:color="auto" w:fill="auto"/>
            <w:vAlign w:val="center"/>
          </w:tcPr>
          <w:p w14:paraId="392600F6" w14:textId="77777777" w:rsidR="001A6FE5" w:rsidRPr="00B72DCB" w:rsidRDefault="001A6FE5" w:rsidP="007221C8">
            <w:pPr>
              <w:jc w:val="center"/>
              <w:rPr>
                <w:rFonts w:ascii="Calibri" w:hAnsi="Calibri" w:cs="Calibri"/>
                <w:b/>
                <w:color w:val="000000"/>
                <w:sz w:val="20"/>
                <w:szCs w:val="20"/>
              </w:rPr>
            </w:pPr>
            <w:r>
              <w:rPr>
                <w:rFonts w:ascii="Calibri" w:hAnsi="Calibri" w:cs="Calibri"/>
                <w:b/>
                <w:color w:val="000000"/>
                <w:sz w:val="20"/>
                <w:szCs w:val="20"/>
              </w:rPr>
              <w:t>X</w:t>
            </w:r>
          </w:p>
        </w:tc>
      </w:tr>
      <w:tr w:rsidR="00183AB2" w:rsidRPr="00E3370F" w14:paraId="31DF5575" w14:textId="77777777" w:rsidTr="00C74D45">
        <w:trPr>
          <w:trHeight w:val="345"/>
        </w:trPr>
        <w:tc>
          <w:tcPr>
            <w:tcW w:w="3220" w:type="dxa"/>
            <w:shd w:val="clear" w:color="auto" w:fill="auto"/>
            <w:vAlign w:val="center"/>
            <w:hideMark/>
          </w:tcPr>
          <w:p w14:paraId="7D6D1A57"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Manufacturing - Bio/Tech</w:t>
            </w:r>
          </w:p>
        </w:tc>
        <w:tc>
          <w:tcPr>
            <w:tcW w:w="1420" w:type="dxa"/>
            <w:shd w:val="clear" w:color="auto" w:fill="auto"/>
            <w:vAlign w:val="center"/>
            <w:hideMark/>
          </w:tcPr>
          <w:p w14:paraId="5D986A7F"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MBT</w:t>
            </w:r>
          </w:p>
        </w:tc>
        <w:tc>
          <w:tcPr>
            <w:tcW w:w="1340" w:type="dxa"/>
            <w:shd w:val="clear" w:color="auto" w:fill="auto"/>
            <w:vAlign w:val="center"/>
            <w:hideMark/>
          </w:tcPr>
          <w:p w14:paraId="3B3A83BF"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4EDD08A8"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10A1FFCF"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088CA937" w14:textId="77777777" w:rsidTr="00C74D45">
        <w:trPr>
          <w:trHeight w:val="345"/>
        </w:trPr>
        <w:tc>
          <w:tcPr>
            <w:tcW w:w="3220" w:type="dxa"/>
            <w:shd w:val="clear" w:color="auto" w:fill="auto"/>
            <w:vAlign w:val="center"/>
            <w:hideMark/>
          </w:tcPr>
          <w:p w14:paraId="5FDE3840"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Manufacturing - Light Industrial</w:t>
            </w:r>
          </w:p>
        </w:tc>
        <w:tc>
          <w:tcPr>
            <w:tcW w:w="1420" w:type="dxa"/>
            <w:shd w:val="clear" w:color="auto" w:fill="auto"/>
            <w:vAlign w:val="center"/>
            <w:hideMark/>
          </w:tcPr>
          <w:p w14:paraId="6B20EBC7"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MLI</w:t>
            </w:r>
          </w:p>
        </w:tc>
        <w:tc>
          <w:tcPr>
            <w:tcW w:w="1340" w:type="dxa"/>
            <w:shd w:val="clear" w:color="auto" w:fill="auto"/>
            <w:vAlign w:val="center"/>
            <w:hideMark/>
          </w:tcPr>
          <w:p w14:paraId="69022D26"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138AEE63"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53E80ECD"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3D4E5B12" w14:textId="77777777" w:rsidTr="00C74D45">
        <w:trPr>
          <w:trHeight w:val="345"/>
        </w:trPr>
        <w:tc>
          <w:tcPr>
            <w:tcW w:w="3220" w:type="dxa"/>
            <w:shd w:val="clear" w:color="auto" w:fill="auto"/>
            <w:vAlign w:val="center"/>
            <w:hideMark/>
          </w:tcPr>
          <w:p w14:paraId="7226C70B" w14:textId="31E8E34E"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Office - Large</w:t>
            </w:r>
          </w:p>
        </w:tc>
        <w:tc>
          <w:tcPr>
            <w:tcW w:w="1420" w:type="dxa"/>
            <w:shd w:val="clear" w:color="auto" w:fill="auto"/>
            <w:vAlign w:val="center"/>
            <w:hideMark/>
          </w:tcPr>
          <w:p w14:paraId="54AEE44F"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OfL</w:t>
            </w:r>
          </w:p>
        </w:tc>
        <w:tc>
          <w:tcPr>
            <w:tcW w:w="1340" w:type="dxa"/>
            <w:shd w:val="clear" w:color="auto" w:fill="auto"/>
            <w:vAlign w:val="center"/>
            <w:hideMark/>
          </w:tcPr>
          <w:p w14:paraId="54799984"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58034F98"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1211509D"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5E6C9D9B" w14:textId="77777777" w:rsidTr="00C74D45">
        <w:trPr>
          <w:trHeight w:val="345"/>
        </w:trPr>
        <w:tc>
          <w:tcPr>
            <w:tcW w:w="3220" w:type="dxa"/>
            <w:shd w:val="clear" w:color="auto" w:fill="auto"/>
            <w:vAlign w:val="center"/>
            <w:hideMark/>
          </w:tcPr>
          <w:p w14:paraId="020898AF"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Office - Small</w:t>
            </w:r>
          </w:p>
        </w:tc>
        <w:tc>
          <w:tcPr>
            <w:tcW w:w="1420" w:type="dxa"/>
            <w:shd w:val="clear" w:color="auto" w:fill="auto"/>
            <w:vAlign w:val="center"/>
            <w:hideMark/>
          </w:tcPr>
          <w:p w14:paraId="1ED62E91"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OfS</w:t>
            </w:r>
          </w:p>
        </w:tc>
        <w:tc>
          <w:tcPr>
            <w:tcW w:w="1340" w:type="dxa"/>
            <w:shd w:val="clear" w:color="auto" w:fill="auto"/>
            <w:vAlign w:val="center"/>
            <w:hideMark/>
          </w:tcPr>
          <w:p w14:paraId="19C544FA"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3FF3DC33"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09535EE8"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3C3C8FE2" w14:textId="77777777" w:rsidTr="00C74D45">
        <w:trPr>
          <w:trHeight w:val="345"/>
        </w:trPr>
        <w:tc>
          <w:tcPr>
            <w:tcW w:w="3220" w:type="dxa"/>
            <w:shd w:val="clear" w:color="auto" w:fill="auto"/>
            <w:vAlign w:val="center"/>
            <w:hideMark/>
          </w:tcPr>
          <w:p w14:paraId="07E72D69"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Restaurant - Fast-Food</w:t>
            </w:r>
          </w:p>
        </w:tc>
        <w:tc>
          <w:tcPr>
            <w:tcW w:w="1420" w:type="dxa"/>
            <w:shd w:val="clear" w:color="auto" w:fill="auto"/>
            <w:vAlign w:val="center"/>
            <w:hideMark/>
          </w:tcPr>
          <w:p w14:paraId="4AC5D06A"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RFF</w:t>
            </w:r>
          </w:p>
        </w:tc>
        <w:tc>
          <w:tcPr>
            <w:tcW w:w="1340" w:type="dxa"/>
            <w:shd w:val="clear" w:color="auto" w:fill="auto"/>
            <w:vAlign w:val="center"/>
            <w:hideMark/>
          </w:tcPr>
          <w:p w14:paraId="21D93FFC"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26787958"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76D3F3CA"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48748D00" w14:textId="77777777" w:rsidTr="00C74D45">
        <w:trPr>
          <w:trHeight w:val="345"/>
        </w:trPr>
        <w:tc>
          <w:tcPr>
            <w:tcW w:w="3220" w:type="dxa"/>
            <w:shd w:val="clear" w:color="auto" w:fill="auto"/>
            <w:vAlign w:val="center"/>
            <w:hideMark/>
          </w:tcPr>
          <w:p w14:paraId="7A68A28C"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Restaurant - Sit-Down</w:t>
            </w:r>
          </w:p>
        </w:tc>
        <w:tc>
          <w:tcPr>
            <w:tcW w:w="1420" w:type="dxa"/>
            <w:shd w:val="clear" w:color="auto" w:fill="auto"/>
            <w:vAlign w:val="center"/>
            <w:hideMark/>
          </w:tcPr>
          <w:p w14:paraId="1B30BFB6"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RSD</w:t>
            </w:r>
          </w:p>
        </w:tc>
        <w:tc>
          <w:tcPr>
            <w:tcW w:w="1340" w:type="dxa"/>
            <w:shd w:val="clear" w:color="auto" w:fill="auto"/>
            <w:vAlign w:val="center"/>
            <w:hideMark/>
          </w:tcPr>
          <w:p w14:paraId="38375D7E"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3F0A8357"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115D6EE9"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613CCA7D" w14:textId="77777777" w:rsidTr="00C74D45">
        <w:trPr>
          <w:trHeight w:val="345"/>
        </w:trPr>
        <w:tc>
          <w:tcPr>
            <w:tcW w:w="3220" w:type="dxa"/>
            <w:shd w:val="clear" w:color="auto" w:fill="auto"/>
            <w:vAlign w:val="center"/>
            <w:hideMark/>
          </w:tcPr>
          <w:p w14:paraId="3A522738"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Retail - Multistory Large</w:t>
            </w:r>
          </w:p>
        </w:tc>
        <w:tc>
          <w:tcPr>
            <w:tcW w:w="1420" w:type="dxa"/>
            <w:shd w:val="clear" w:color="auto" w:fill="auto"/>
            <w:vAlign w:val="center"/>
            <w:hideMark/>
          </w:tcPr>
          <w:p w14:paraId="7CB77099"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Rt3</w:t>
            </w:r>
          </w:p>
        </w:tc>
        <w:tc>
          <w:tcPr>
            <w:tcW w:w="1340" w:type="dxa"/>
            <w:shd w:val="clear" w:color="auto" w:fill="auto"/>
            <w:vAlign w:val="center"/>
            <w:hideMark/>
          </w:tcPr>
          <w:p w14:paraId="246794F2"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34C9C907"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3C31E577"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6E21ADB8" w14:textId="77777777" w:rsidTr="00C74D45">
        <w:trPr>
          <w:trHeight w:val="345"/>
        </w:trPr>
        <w:tc>
          <w:tcPr>
            <w:tcW w:w="3220" w:type="dxa"/>
            <w:shd w:val="clear" w:color="auto" w:fill="auto"/>
            <w:vAlign w:val="center"/>
            <w:hideMark/>
          </w:tcPr>
          <w:p w14:paraId="74310974"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Retail - Single-Story Large</w:t>
            </w:r>
          </w:p>
        </w:tc>
        <w:tc>
          <w:tcPr>
            <w:tcW w:w="1420" w:type="dxa"/>
            <w:shd w:val="clear" w:color="auto" w:fill="auto"/>
            <w:vAlign w:val="center"/>
            <w:hideMark/>
          </w:tcPr>
          <w:p w14:paraId="1844A480"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RtL</w:t>
            </w:r>
          </w:p>
        </w:tc>
        <w:tc>
          <w:tcPr>
            <w:tcW w:w="1340" w:type="dxa"/>
            <w:shd w:val="clear" w:color="auto" w:fill="auto"/>
            <w:vAlign w:val="center"/>
            <w:hideMark/>
          </w:tcPr>
          <w:p w14:paraId="1C6771A2"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477F10FE"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70BBC280"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2991493A" w14:textId="77777777" w:rsidTr="00C74D45">
        <w:trPr>
          <w:trHeight w:val="345"/>
        </w:trPr>
        <w:tc>
          <w:tcPr>
            <w:tcW w:w="3220" w:type="dxa"/>
            <w:shd w:val="clear" w:color="auto" w:fill="auto"/>
            <w:vAlign w:val="center"/>
            <w:hideMark/>
          </w:tcPr>
          <w:p w14:paraId="1D126A8D"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Retail - Small</w:t>
            </w:r>
          </w:p>
        </w:tc>
        <w:tc>
          <w:tcPr>
            <w:tcW w:w="1420" w:type="dxa"/>
            <w:shd w:val="clear" w:color="auto" w:fill="auto"/>
            <w:vAlign w:val="center"/>
            <w:hideMark/>
          </w:tcPr>
          <w:p w14:paraId="668E5CB1"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RtS</w:t>
            </w:r>
          </w:p>
        </w:tc>
        <w:tc>
          <w:tcPr>
            <w:tcW w:w="1340" w:type="dxa"/>
            <w:shd w:val="clear" w:color="auto" w:fill="auto"/>
            <w:vAlign w:val="center"/>
            <w:hideMark/>
          </w:tcPr>
          <w:p w14:paraId="7E86D85A"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1626DDAC"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6C12D564"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r w:rsidR="00183AB2" w:rsidRPr="00E3370F" w14:paraId="71FAAA8F" w14:textId="77777777" w:rsidTr="00C74D45">
        <w:trPr>
          <w:trHeight w:val="345"/>
        </w:trPr>
        <w:tc>
          <w:tcPr>
            <w:tcW w:w="3220" w:type="dxa"/>
            <w:shd w:val="clear" w:color="auto" w:fill="auto"/>
            <w:vAlign w:val="center"/>
            <w:hideMark/>
          </w:tcPr>
          <w:p w14:paraId="45B2FF20"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Storage - Conditioned</w:t>
            </w:r>
          </w:p>
        </w:tc>
        <w:tc>
          <w:tcPr>
            <w:tcW w:w="1420" w:type="dxa"/>
            <w:shd w:val="clear" w:color="auto" w:fill="auto"/>
            <w:vAlign w:val="center"/>
            <w:hideMark/>
          </w:tcPr>
          <w:p w14:paraId="7EF24C48" w14:textId="77777777" w:rsidR="00183AB2" w:rsidRPr="00E3370F" w:rsidRDefault="00183AB2" w:rsidP="007221C8">
            <w:pPr>
              <w:jc w:val="center"/>
              <w:rPr>
                <w:rFonts w:ascii="Calibri" w:hAnsi="Calibri" w:cs="Calibri"/>
                <w:color w:val="000000"/>
                <w:sz w:val="20"/>
                <w:szCs w:val="20"/>
              </w:rPr>
            </w:pPr>
            <w:r w:rsidRPr="00E3370F">
              <w:rPr>
                <w:rFonts w:ascii="Calibri" w:hAnsi="Calibri" w:cs="Calibri"/>
                <w:color w:val="000000"/>
                <w:sz w:val="20"/>
                <w:szCs w:val="20"/>
              </w:rPr>
              <w:t>SCn</w:t>
            </w:r>
          </w:p>
        </w:tc>
        <w:tc>
          <w:tcPr>
            <w:tcW w:w="1340" w:type="dxa"/>
            <w:shd w:val="clear" w:color="auto" w:fill="auto"/>
            <w:vAlign w:val="center"/>
            <w:hideMark/>
          </w:tcPr>
          <w:p w14:paraId="3065684F"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3D5F65CF"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c>
          <w:tcPr>
            <w:tcW w:w="1340" w:type="dxa"/>
            <w:shd w:val="clear" w:color="auto" w:fill="auto"/>
            <w:vAlign w:val="center"/>
            <w:hideMark/>
          </w:tcPr>
          <w:p w14:paraId="0FD17824" w14:textId="77777777" w:rsidR="00183AB2" w:rsidRPr="00B72DCB" w:rsidRDefault="00183AB2" w:rsidP="007221C8">
            <w:pPr>
              <w:jc w:val="center"/>
              <w:rPr>
                <w:rFonts w:ascii="Calibri" w:hAnsi="Calibri" w:cs="Calibri"/>
                <w:b/>
                <w:color w:val="000000"/>
                <w:sz w:val="20"/>
                <w:szCs w:val="20"/>
              </w:rPr>
            </w:pPr>
            <w:r w:rsidRPr="00B72DCB">
              <w:rPr>
                <w:rFonts w:ascii="Calibri" w:hAnsi="Calibri" w:cs="Calibri"/>
                <w:b/>
                <w:color w:val="000000"/>
                <w:sz w:val="20"/>
                <w:szCs w:val="20"/>
              </w:rPr>
              <w:t>X</w:t>
            </w:r>
          </w:p>
        </w:tc>
      </w:tr>
    </w:tbl>
    <w:p w14:paraId="71F2EB43" w14:textId="77777777" w:rsidR="001A6FE5" w:rsidRPr="00BA59FF" w:rsidRDefault="001A6FE5" w:rsidP="00183AB2">
      <w:pPr>
        <w:rPr>
          <w:szCs w:val="22"/>
          <w:highlight w:val="yellow"/>
        </w:rPr>
      </w:pPr>
    </w:p>
    <w:p w14:paraId="0F384DE6" w14:textId="3BC8BB28" w:rsidR="00183AB2" w:rsidRPr="0026787D" w:rsidRDefault="00183AB2" w:rsidP="00183AB2">
      <w:pPr>
        <w:rPr>
          <w:szCs w:val="22"/>
        </w:rPr>
      </w:pPr>
      <w:r w:rsidRPr="0026787D">
        <w:rPr>
          <w:szCs w:val="22"/>
        </w:rPr>
        <w:t>The</w:t>
      </w:r>
      <w:r w:rsidR="002C1723">
        <w:rPr>
          <w:szCs w:val="22"/>
        </w:rPr>
        <w:t>se</w:t>
      </w:r>
      <w:r w:rsidRPr="0026787D">
        <w:rPr>
          <w:szCs w:val="22"/>
        </w:rPr>
        <w:t xml:space="preserve"> </w:t>
      </w:r>
      <w:r w:rsidR="002C1723">
        <w:rPr>
          <w:szCs w:val="22"/>
        </w:rPr>
        <w:t xml:space="preserve">commercial </w:t>
      </w:r>
      <w:r w:rsidRPr="0026787D">
        <w:rPr>
          <w:szCs w:val="22"/>
        </w:rPr>
        <w:t xml:space="preserve">prototypes were simulated for each of the </w:t>
      </w:r>
      <w:r w:rsidR="003732D0">
        <w:rPr>
          <w:szCs w:val="22"/>
        </w:rPr>
        <w:t>four</w:t>
      </w:r>
      <w:r w:rsidR="003732D0" w:rsidRPr="0026787D">
        <w:rPr>
          <w:szCs w:val="22"/>
        </w:rPr>
        <w:t xml:space="preserve"> </w:t>
      </w:r>
      <w:r w:rsidRPr="0026787D">
        <w:rPr>
          <w:szCs w:val="22"/>
        </w:rPr>
        <w:t>non-resid</w:t>
      </w:r>
      <w:r>
        <w:rPr>
          <w:szCs w:val="22"/>
        </w:rPr>
        <w:t xml:space="preserve">ential vintages shown in </w:t>
      </w:r>
      <w:r w:rsidR="003732D0">
        <w:rPr>
          <w:szCs w:val="22"/>
        </w:rPr>
        <w:t>table below</w:t>
      </w:r>
      <w:r w:rsidRPr="0026787D">
        <w:rPr>
          <w:szCs w:val="22"/>
        </w:rPr>
        <w:t>.</w:t>
      </w:r>
      <w:r>
        <w:rPr>
          <w:szCs w:val="22"/>
        </w:rPr>
        <w:t xml:space="preserve"> </w:t>
      </w:r>
      <w:r w:rsidRPr="0026787D">
        <w:rPr>
          <w:szCs w:val="22"/>
        </w:rPr>
        <w:t>Each vintage has a different cooling load and may have different building and system component properties based either on code or standard practice at the time</w:t>
      </w:r>
      <w:r w:rsidR="003732D0">
        <w:rPr>
          <w:szCs w:val="22"/>
        </w:rPr>
        <w:t>.</w:t>
      </w:r>
    </w:p>
    <w:p w14:paraId="2FD6CACF" w14:textId="77777777" w:rsidR="006E2889" w:rsidRDefault="006E2889" w:rsidP="00183AB2">
      <w:pPr>
        <w:pStyle w:val="Caption"/>
        <w:keepNext/>
        <w:jc w:val="center"/>
      </w:pPr>
      <w:bookmarkStart w:id="20" w:name="_Ref386198167"/>
    </w:p>
    <w:bookmarkEnd w:id="20"/>
    <w:p w14:paraId="71472818" w14:textId="25052914" w:rsidR="00183AB2" w:rsidRDefault="00183AB2" w:rsidP="00183AB2">
      <w:pPr>
        <w:pStyle w:val="Caption"/>
        <w:keepNext/>
        <w:jc w:val="center"/>
      </w:pPr>
      <w:r w:rsidRPr="0001599B">
        <w:rPr>
          <w:rFonts w:cs="Calibri"/>
          <w:szCs w:val="22"/>
        </w:rPr>
        <w:t>DEER Prototype Non-residential Vintages</w:t>
      </w:r>
    </w:p>
    <w:tbl>
      <w:tblPr>
        <w:tblW w:w="5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0"/>
        <w:gridCol w:w="1840"/>
      </w:tblGrid>
      <w:tr w:rsidR="00183AB2" w:rsidRPr="00780A03" w14:paraId="77FCB099" w14:textId="77777777" w:rsidTr="00C74D45">
        <w:trPr>
          <w:trHeight w:val="525"/>
          <w:jc w:val="center"/>
        </w:trPr>
        <w:tc>
          <w:tcPr>
            <w:tcW w:w="3220" w:type="dxa"/>
            <w:shd w:val="clear" w:color="000000" w:fill="BFBFBF"/>
            <w:vAlign w:val="center"/>
            <w:hideMark/>
          </w:tcPr>
          <w:p w14:paraId="51DA1C6D" w14:textId="77777777" w:rsidR="00183AB2" w:rsidRPr="00780A03" w:rsidRDefault="00183AB2" w:rsidP="007221C8">
            <w:pPr>
              <w:jc w:val="center"/>
              <w:rPr>
                <w:rFonts w:ascii="Calibri" w:hAnsi="Calibri" w:cs="Calibri"/>
                <w:b/>
                <w:bCs/>
                <w:color w:val="000000"/>
                <w:sz w:val="20"/>
                <w:szCs w:val="20"/>
              </w:rPr>
            </w:pPr>
            <w:r w:rsidRPr="00780A03">
              <w:rPr>
                <w:rFonts w:ascii="Calibri" w:hAnsi="Calibri" w:cs="Calibri"/>
                <w:b/>
                <w:bCs/>
                <w:color w:val="000000"/>
                <w:sz w:val="20"/>
                <w:szCs w:val="20"/>
              </w:rPr>
              <w:t>Vintage</w:t>
            </w:r>
          </w:p>
        </w:tc>
        <w:tc>
          <w:tcPr>
            <w:tcW w:w="1840" w:type="dxa"/>
            <w:shd w:val="clear" w:color="000000" w:fill="BFBFBF"/>
            <w:vAlign w:val="center"/>
            <w:hideMark/>
          </w:tcPr>
          <w:p w14:paraId="3781573E" w14:textId="77777777" w:rsidR="00183AB2" w:rsidRPr="00780A03" w:rsidRDefault="00183AB2" w:rsidP="007221C8">
            <w:pPr>
              <w:jc w:val="center"/>
              <w:rPr>
                <w:rFonts w:ascii="Calibri" w:hAnsi="Calibri" w:cs="Calibri"/>
                <w:b/>
                <w:bCs/>
                <w:color w:val="000000"/>
                <w:sz w:val="20"/>
                <w:szCs w:val="20"/>
              </w:rPr>
            </w:pPr>
            <w:r w:rsidRPr="00780A03">
              <w:rPr>
                <w:rFonts w:ascii="Calibri" w:hAnsi="Calibri" w:cs="Calibri"/>
                <w:b/>
                <w:bCs/>
                <w:color w:val="000000"/>
                <w:sz w:val="20"/>
                <w:szCs w:val="20"/>
              </w:rPr>
              <w:t>Years Represented</w:t>
            </w:r>
          </w:p>
        </w:tc>
      </w:tr>
      <w:tr w:rsidR="00183AB2" w:rsidRPr="00780A03" w14:paraId="0369F0C3" w14:textId="77777777" w:rsidTr="00C74D45">
        <w:trPr>
          <w:trHeight w:val="330"/>
          <w:jc w:val="center"/>
        </w:trPr>
        <w:tc>
          <w:tcPr>
            <w:tcW w:w="3220" w:type="dxa"/>
            <w:shd w:val="clear" w:color="auto" w:fill="auto"/>
            <w:vAlign w:val="center"/>
            <w:hideMark/>
          </w:tcPr>
          <w:p w14:paraId="499583D5"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Vintage 96</w:t>
            </w:r>
          </w:p>
        </w:tc>
        <w:tc>
          <w:tcPr>
            <w:tcW w:w="1840" w:type="dxa"/>
            <w:shd w:val="clear" w:color="auto" w:fill="auto"/>
            <w:vAlign w:val="center"/>
            <w:hideMark/>
          </w:tcPr>
          <w:p w14:paraId="07EF53AE"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1993 to 2001</w:t>
            </w:r>
          </w:p>
        </w:tc>
      </w:tr>
      <w:tr w:rsidR="00183AB2" w:rsidRPr="00780A03" w14:paraId="5839385A" w14:textId="77777777" w:rsidTr="00C74D45">
        <w:trPr>
          <w:trHeight w:val="330"/>
          <w:jc w:val="center"/>
        </w:trPr>
        <w:tc>
          <w:tcPr>
            <w:tcW w:w="3220" w:type="dxa"/>
            <w:shd w:val="clear" w:color="auto" w:fill="auto"/>
            <w:vAlign w:val="center"/>
            <w:hideMark/>
          </w:tcPr>
          <w:p w14:paraId="1246254F"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Vintage 3</w:t>
            </w:r>
          </w:p>
        </w:tc>
        <w:tc>
          <w:tcPr>
            <w:tcW w:w="1840" w:type="dxa"/>
            <w:shd w:val="clear" w:color="auto" w:fill="auto"/>
            <w:vAlign w:val="center"/>
            <w:hideMark/>
          </w:tcPr>
          <w:p w14:paraId="28121195"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2002 to 2005</w:t>
            </w:r>
          </w:p>
        </w:tc>
      </w:tr>
      <w:tr w:rsidR="00183AB2" w:rsidRPr="00780A03" w14:paraId="050D04C5" w14:textId="77777777" w:rsidTr="00C74D45">
        <w:trPr>
          <w:trHeight w:val="330"/>
          <w:jc w:val="center"/>
        </w:trPr>
        <w:tc>
          <w:tcPr>
            <w:tcW w:w="3220" w:type="dxa"/>
            <w:shd w:val="clear" w:color="auto" w:fill="auto"/>
            <w:vAlign w:val="center"/>
            <w:hideMark/>
          </w:tcPr>
          <w:p w14:paraId="2633A984"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Vintage 7</w:t>
            </w:r>
          </w:p>
        </w:tc>
        <w:tc>
          <w:tcPr>
            <w:tcW w:w="1840" w:type="dxa"/>
            <w:shd w:val="clear" w:color="auto" w:fill="auto"/>
            <w:vAlign w:val="center"/>
            <w:hideMark/>
          </w:tcPr>
          <w:p w14:paraId="26FAF81C"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2006 to 2011</w:t>
            </w:r>
          </w:p>
        </w:tc>
      </w:tr>
      <w:tr w:rsidR="00183AB2" w:rsidRPr="00780A03" w14:paraId="26BBA31B" w14:textId="77777777" w:rsidTr="00C74D45">
        <w:trPr>
          <w:trHeight w:val="330"/>
          <w:jc w:val="center"/>
        </w:trPr>
        <w:tc>
          <w:tcPr>
            <w:tcW w:w="3220" w:type="dxa"/>
            <w:shd w:val="clear" w:color="auto" w:fill="auto"/>
            <w:vAlign w:val="center"/>
            <w:hideMark/>
          </w:tcPr>
          <w:p w14:paraId="5F7CAEB0"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Vintage 11</w:t>
            </w:r>
          </w:p>
        </w:tc>
        <w:tc>
          <w:tcPr>
            <w:tcW w:w="1840" w:type="dxa"/>
            <w:shd w:val="clear" w:color="auto" w:fill="auto"/>
            <w:vAlign w:val="center"/>
            <w:hideMark/>
          </w:tcPr>
          <w:p w14:paraId="4D468DD3"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After 2011</w:t>
            </w:r>
          </w:p>
        </w:tc>
      </w:tr>
    </w:tbl>
    <w:p w14:paraId="076D1948" w14:textId="77777777" w:rsidR="00183AB2" w:rsidRDefault="00183AB2" w:rsidP="00183AB2">
      <w:pPr>
        <w:rPr>
          <w:szCs w:val="22"/>
        </w:rPr>
      </w:pPr>
    </w:p>
    <w:p w14:paraId="741FFC21" w14:textId="1DB0310E" w:rsidR="00183AB2" w:rsidRPr="00CF51B1" w:rsidRDefault="00183AB2" w:rsidP="00AA5A92">
      <w:pPr>
        <w:rPr>
          <w:rFonts w:cs="Calibri"/>
          <w:szCs w:val="22"/>
        </w:rPr>
      </w:pPr>
      <w:r w:rsidRPr="00CF51B1">
        <w:rPr>
          <w:szCs w:val="22"/>
        </w:rPr>
        <w:t xml:space="preserve">Each of the building prototypes were run through eQUEST with the </w:t>
      </w:r>
      <w:r>
        <w:rPr>
          <w:szCs w:val="22"/>
        </w:rPr>
        <w:t xml:space="preserve">16 CZ2010 </w:t>
      </w:r>
      <w:r w:rsidRPr="00CF51B1">
        <w:rPr>
          <w:szCs w:val="22"/>
        </w:rPr>
        <w:t>weather</w:t>
      </w:r>
      <w:r w:rsidR="002C1723">
        <w:rPr>
          <w:szCs w:val="22"/>
        </w:rPr>
        <w:t xml:space="preserve"> data. </w:t>
      </w:r>
    </w:p>
    <w:p w14:paraId="235987F5" w14:textId="77777777" w:rsidR="00183AB2" w:rsidRDefault="00183AB2" w:rsidP="00183AB2">
      <w:pPr>
        <w:rPr>
          <w:highlight w:val="yellow"/>
        </w:rPr>
      </w:pPr>
    </w:p>
    <w:p w14:paraId="3CC17CE6" w14:textId="0F16FEE2" w:rsidR="00183AB2" w:rsidRDefault="00183AB2" w:rsidP="00183AB2">
      <w:r>
        <w:lastRenderedPageBreak/>
        <w:t xml:space="preserve">To simulate the HVAC Fans Cogged V-Belt Replacement measure in eQUEST, </w:t>
      </w:r>
      <w:r w:rsidR="002C1723">
        <w:t xml:space="preserve">(DOE2) </w:t>
      </w:r>
      <w:r>
        <w:t xml:space="preserve">keyword values were changed to represent an improvement in fan efficiency and the corresponding reduction of fan heat entering the air stream. </w:t>
      </w:r>
      <w:r w:rsidR="00C81980">
        <w:t xml:space="preserve">Table below </w:t>
      </w:r>
      <w:r>
        <w:t>indicates the required keyword(s) values to change per each HVAC system in the prototype model:</w:t>
      </w:r>
    </w:p>
    <w:p w14:paraId="65E1548D" w14:textId="77777777" w:rsidR="00183AB2" w:rsidRDefault="00183AB2" w:rsidP="00183AB2"/>
    <w:p w14:paraId="10758CA0" w14:textId="16495E86" w:rsidR="00183AB2" w:rsidRDefault="00183AB2" w:rsidP="00183AB2">
      <w:pPr>
        <w:pStyle w:val="Caption"/>
        <w:keepNext/>
        <w:jc w:val="center"/>
      </w:pPr>
      <w:r>
        <w:t>List of Modified eQUEST Keywords</w:t>
      </w:r>
    </w:p>
    <w:tbl>
      <w:tblPr>
        <w:tblW w:w="5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0"/>
        <w:gridCol w:w="2900"/>
      </w:tblGrid>
      <w:tr w:rsidR="00183AB2" w:rsidRPr="00780A03" w14:paraId="42E1EB9D" w14:textId="77777777" w:rsidTr="00C74D45">
        <w:trPr>
          <w:trHeight w:val="315"/>
          <w:jc w:val="center"/>
        </w:trPr>
        <w:tc>
          <w:tcPr>
            <w:tcW w:w="2500" w:type="dxa"/>
            <w:shd w:val="clear" w:color="000000" w:fill="BFBFBF"/>
            <w:vAlign w:val="center"/>
            <w:hideMark/>
          </w:tcPr>
          <w:p w14:paraId="08A0A314" w14:textId="77777777" w:rsidR="00183AB2" w:rsidRPr="00780A03" w:rsidRDefault="00183AB2" w:rsidP="007221C8">
            <w:pPr>
              <w:jc w:val="center"/>
              <w:rPr>
                <w:rFonts w:ascii="Calibri" w:hAnsi="Calibri" w:cs="Calibri"/>
                <w:b/>
                <w:bCs/>
                <w:color w:val="000000"/>
                <w:sz w:val="20"/>
                <w:szCs w:val="20"/>
              </w:rPr>
            </w:pPr>
            <w:r w:rsidRPr="00780A03">
              <w:rPr>
                <w:rFonts w:ascii="Calibri" w:hAnsi="Calibri" w:cs="Calibri"/>
                <w:b/>
                <w:bCs/>
                <w:color w:val="000000"/>
                <w:sz w:val="20"/>
                <w:szCs w:val="20"/>
              </w:rPr>
              <w:t>HVAC Unit Type</w:t>
            </w:r>
            <w:r w:rsidRPr="00780A03">
              <w:rPr>
                <w:rFonts w:ascii="Calibri" w:hAnsi="Calibri" w:cs="Calibri"/>
                <w:color w:val="000000"/>
                <w:sz w:val="16"/>
                <w:szCs w:val="16"/>
              </w:rPr>
              <w:t> </w:t>
            </w:r>
          </w:p>
        </w:tc>
        <w:tc>
          <w:tcPr>
            <w:tcW w:w="2900" w:type="dxa"/>
            <w:shd w:val="clear" w:color="000000" w:fill="BFBFBF"/>
            <w:vAlign w:val="center"/>
            <w:hideMark/>
          </w:tcPr>
          <w:p w14:paraId="159CFEA6" w14:textId="77777777" w:rsidR="00183AB2" w:rsidRPr="00780A03" w:rsidRDefault="00183AB2" w:rsidP="007221C8">
            <w:pPr>
              <w:jc w:val="center"/>
              <w:rPr>
                <w:rFonts w:ascii="Calibri" w:hAnsi="Calibri" w:cs="Calibri"/>
                <w:b/>
                <w:bCs/>
                <w:color w:val="000000"/>
                <w:sz w:val="20"/>
                <w:szCs w:val="20"/>
              </w:rPr>
            </w:pPr>
            <w:r w:rsidRPr="00780A03">
              <w:rPr>
                <w:rFonts w:ascii="Calibri" w:hAnsi="Calibri" w:cs="Calibri"/>
                <w:b/>
                <w:bCs/>
                <w:color w:val="000000"/>
                <w:sz w:val="20"/>
                <w:szCs w:val="20"/>
              </w:rPr>
              <w:t>Keyword</w:t>
            </w:r>
          </w:p>
        </w:tc>
      </w:tr>
      <w:tr w:rsidR="00183AB2" w:rsidRPr="00780A03" w14:paraId="07854CD8" w14:textId="77777777" w:rsidTr="00C74D45">
        <w:trPr>
          <w:trHeight w:val="501"/>
          <w:jc w:val="center"/>
        </w:trPr>
        <w:tc>
          <w:tcPr>
            <w:tcW w:w="2500" w:type="dxa"/>
            <w:shd w:val="clear" w:color="auto" w:fill="auto"/>
            <w:vAlign w:val="center"/>
            <w:hideMark/>
          </w:tcPr>
          <w:p w14:paraId="7018C08C"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Gas Pack</w:t>
            </w:r>
          </w:p>
        </w:tc>
        <w:tc>
          <w:tcPr>
            <w:tcW w:w="2900" w:type="dxa"/>
            <w:shd w:val="clear" w:color="auto" w:fill="auto"/>
            <w:vAlign w:val="center"/>
            <w:hideMark/>
          </w:tcPr>
          <w:p w14:paraId="009FA4E3"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SYSTEM:SUPPLY-KW/FLOW</w:t>
            </w:r>
          </w:p>
        </w:tc>
      </w:tr>
      <w:tr w:rsidR="00183AB2" w:rsidRPr="00780A03" w14:paraId="2C0BFDE4" w14:textId="77777777" w:rsidTr="00C74D45">
        <w:trPr>
          <w:trHeight w:val="510"/>
          <w:jc w:val="center"/>
        </w:trPr>
        <w:tc>
          <w:tcPr>
            <w:tcW w:w="2500" w:type="dxa"/>
            <w:shd w:val="clear" w:color="auto" w:fill="auto"/>
            <w:vAlign w:val="center"/>
            <w:hideMark/>
          </w:tcPr>
          <w:p w14:paraId="1FE1ACAD"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Gas Pack</w:t>
            </w:r>
          </w:p>
        </w:tc>
        <w:tc>
          <w:tcPr>
            <w:tcW w:w="2900" w:type="dxa"/>
            <w:shd w:val="clear" w:color="auto" w:fill="auto"/>
            <w:vAlign w:val="center"/>
            <w:hideMark/>
          </w:tcPr>
          <w:p w14:paraId="2FAA1C4A"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SYSTEM:SUPPLY-DELTA-T</w:t>
            </w:r>
          </w:p>
        </w:tc>
      </w:tr>
      <w:tr w:rsidR="00183AB2" w:rsidRPr="00780A03" w14:paraId="742A67BC" w14:textId="77777777" w:rsidTr="00C74D45">
        <w:trPr>
          <w:trHeight w:val="420"/>
          <w:jc w:val="center"/>
        </w:trPr>
        <w:tc>
          <w:tcPr>
            <w:tcW w:w="2500" w:type="dxa"/>
            <w:shd w:val="clear" w:color="auto" w:fill="auto"/>
            <w:vAlign w:val="center"/>
            <w:hideMark/>
          </w:tcPr>
          <w:p w14:paraId="6317DC18"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Heat Pump</w:t>
            </w:r>
          </w:p>
        </w:tc>
        <w:tc>
          <w:tcPr>
            <w:tcW w:w="2900" w:type="dxa"/>
            <w:shd w:val="clear" w:color="auto" w:fill="auto"/>
            <w:vAlign w:val="center"/>
            <w:hideMark/>
          </w:tcPr>
          <w:p w14:paraId="2563791F" w14:textId="77777777" w:rsidR="00183AB2" w:rsidRPr="00780A03" w:rsidRDefault="00183AB2" w:rsidP="007221C8">
            <w:pPr>
              <w:jc w:val="center"/>
              <w:rPr>
                <w:rFonts w:ascii="Calibri" w:hAnsi="Calibri" w:cs="Calibri"/>
                <w:color w:val="000000"/>
                <w:sz w:val="20"/>
                <w:szCs w:val="20"/>
              </w:rPr>
            </w:pPr>
            <w:r w:rsidRPr="00780A03">
              <w:rPr>
                <w:rFonts w:ascii="Calibri" w:hAnsi="Calibri" w:cs="Calibri"/>
                <w:color w:val="000000"/>
                <w:sz w:val="20"/>
                <w:szCs w:val="20"/>
              </w:rPr>
              <w:t>SYSTEM:SUPPLY-EFF</w:t>
            </w:r>
          </w:p>
        </w:tc>
      </w:tr>
    </w:tbl>
    <w:p w14:paraId="19DA9075" w14:textId="77777777" w:rsidR="00183AB2" w:rsidRDefault="00183AB2" w:rsidP="00183AB2"/>
    <w:p w14:paraId="0EF6FE87" w14:textId="43EE3924" w:rsidR="00183AB2" w:rsidRDefault="00183AB2" w:rsidP="00183AB2">
      <w:r>
        <w:t>The base case for each DEER non-residential prototype model requires no changes to the existing keyword values.</w:t>
      </w:r>
      <w:r w:rsidR="006D6289">
        <w:t xml:space="preserve">  </w:t>
      </w:r>
      <w:r w:rsidR="00CC182D">
        <w:t xml:space="preserve">The modifications required for simulating the HVAC Fans Cogged V-Belt Replacement measure case depend on the eQUEST keywords being utilized </w:t>
      </w:r>
      <w:r w:rsidR="00660B22">
        <w:t xml:space="preserve">by default </w:t>
      </w:r>
      <w:r w:rsidR="00CC182D">
        <w:t xml:space="preserve">within each DEER prototype.  </w:t>
      </w:r>
      <w:r>
        <w:t>The HVAC Fans Cogged V-Belt Replacement measure case for prototypes with Gas Pack units required modifying the supply fan energy per air flow and using that value to update any dependent keywords, as shown in the following calculations:</w:t>
      </w:r>
    </w:p>
    <w:p w14:paraId="348F27EF" w14:textId="77777777" w:rsidR="00183AB2" w:rsidRDefault="00183AB2" w:rsidP="00183AB2"/>
    <w:p w14:paraId="72FBB9B6" w14:textId="77777777" w:rsidR="00183AB2" w:rsidRDefault="00183AB2" w:rsidP="00183AB2">
      <w:pPr>
        <w:ind w:left="720"/>
        <w:rPr>
          <w:i/>
        </w:rPr>
      </w:pPr>
      <w:r w:rsidRPr="00C171D6">
        <w:rPr>
          <w:i/>
        </w:rPr>
        <w:t xml:space="preserve">Measure Case SYSTEM:SUPPLY-KW/FLOW = Base Case SYSTEM:SUPPLY-KW/FLOW * </w:t>
      </w:r>
      <w:r>
        <w:rPr>
          <w:i/>
        </w:rPr>
        <w:t>0.98</w:t>
      </w:r>
    </w:p>
    <w:p w14:paraId="3E107CAB" w14:textId="77777777" w:rsidR="00183AB2" w:rsidRDefault="00183AB2" w:rsidP="00183AB2">
      <w:pPr>
        <w:ind w:left="720"/>
        <w:rPr>
          <w:i/>
        </w:rPr>
      </w:pPr>
    </w:p>
    <w:p w14:paraId="198B8836" w14:textId="77777777" w:rsidR="00183AB2" w:rsidRDefault="00183AB2" w:rsidP="00183AB2">
      <w:pPr>
        <w:ind w:left="720"/>
        <w:rPr>
          <w:i/>
        </w:rPr>
      </w:pPr>
      <w:r>
        <w:rPr>
          <w:i/>
        </w:rPr>
        <w:t>Measure Case SYSTEM:SUPPLY-DELTA-T = Measure Case SYSTEM:SUPPLY-KW/FLOW * 3090</w:t>
      </w:r>
    </w:p>
    <w:p w14:paraId="18F53C29" w14:textId="77777777" w:rsidR="00183AB2" w:rsidRDefault="00183AB2" w:rsidP="00183AB2">
      <w:pPr>
        <w:ind w:left="720"/>
        <w:rPr>
          <w:i/>
        </w:rPr>
      </w:pPr>
      <w:r>
        <w:rPr>
          <w:i/>
        </w:rPr>
        <w:tab/>
        <w:t>Where 3090 is the default factor to approximate temperature rise as a function of supply fan energy according to the eQUEST DOE-2 Dictionary.</w:t>
      </w:r>
    </w:p>
    <w:p w14:paraId="1311C1BF" w14:textId="77777777" w:rsidR="00183AB2" w:rsidRPr="00C171D6" w:rsidRDefault="00183AB2" w:rsidP="00183AB2">
      <w:pPr>
        <w:ind w:left="720"/>
        <w:rPr>
          <w:i/>
        </w:rPr>
      </w:pPr>
    </w:p>
    <w:p w14:paraId="2B426F7D" w14:textId="6E52C822" w:rsidR="00183AB2" w:rsidRDefault="00183AB2" w:rsidP="00183AB2">
      <w:r>
        <w:t>The HVAC Fans Cogged V-Belt Replacement measure case for prototypes with Heat Pump units required directly modifying the supply fan efficiency, as shown in the following calculation:</w:t>
      </w:r>
    </w:p>
    <w:p w14:paraId="2EBBE39B" w14:textId="77777777" w:rsidR="00183AB2" w:rsidRDefault="00183AB2" w:rsidP="00183AB2"/>
    <w:p w14:paraId="791778F0" w14:textId="77777777" w:rsidR="00183AB2" w:rsidRDefault="00183AB2" w:rsidP="00183AB2">
      <w:pPr>
        <w:ind w:left="720"/>
        <w:rPr>
          <w:i/>
        </w:rPr>
      </w:pPr>
      <w:r w:rsidRPr="00C171D6">
        <w:rPr>
          <w:i/>
        </w:rPr>
        <w:t>Measure Case SYSTEM:</w:t>
      </w:r>
      <w:r>
        <w:rPr>
          <w:i/>
        </w:rPr>
        <w:t>SUPPLY-EFF</w:t>
      </w:r>
      <w:r w:rsidRPr="00C171D6">
        <w:rPr>
          <w:i/>
        </w:rPr>
        <w:t xml:space="preserve"> = Base Case SYSTEM: </w:t>
      </w:r>
      <w:r>
        <w:rPr>
          <w:i/>
        </w:rPr>
        <w:t>SUPPLY-EFF</w:t>
      </w:r>
      <w:r w:rsidRPr="00C171D6">
        <w:rPr>
          <w:i/>
        </w:rPr>
        <w:t xml:space="preserve"> * 1.02</w:t>
      </w:r>
    </w:p>
    <w:p w14:paraId="148781E8" w14:textId="77777777" w:rsidR="00183AB2" w:rsidRDefault="00183AB2" w:rsidP="00183AB2">
      <w:pPr>
        <w:rPr>
          <w:highlight w:val="yellow"/>
        </w:rPr>
      </w:pPr>
    </w:p>
    <w:p w14:paraId="20E32DF3" w14:textId="77777777" w:rsidR="00183AB2" w:rsidRDefault="00183AB2" w:rsidP="00183AB2">
      <w:pPr>
        <w:pStyle w:val="Heading2"/>
      </w:pPr>
      <w:r w:rsidRPr="00183AB2">
        <w:t>2.</w:t>
      </w:r>
      <w:r>
        <w:t>2 Electric Energy Savings Estimation Methodologies</w:t>
      </w:r>
    </w:p>
    <w:p w14:paraId="46667D32" w14:textId="77777777" w:rsidR="00183AB2" w:rsidRPr="00197953" w:rsidRDefault="00183AB2" w:rsidP="00183AB2">
      <w:pPr>
        <w:rPr>
          <w:szCs w:val="22"/>
        </w:rPr>
      </w:pPr>
      <w:r w:rsidRPr="00197953">
        <w:rPr>
          <w:szCs w:val="22"/>
        </w:rPr>
        <w:t xml:space="preserve">The calculation of electric energy use for the base case </w:t>
      </w:r>
      <w:r>
        <w:rPr>
          <w:szCs w:val="22"/>
        </w:rPr>
        <w:t xml:space="preserve">and measure case </w:t>
      </w:r>
      <w:r w:rsidRPr="00197953">
        <w:rPr>
          <w:szCs w:val="22"/>
        </w:rPr>
        <w:t>followed the methodology discussed in Section 2.0. The savings for the HVAC Fans Cogged V-Belt Replacement measure are estimated as follows.</w:t>
      </w:r>
    </w:p>
    <w:p w14:paraId="64DDD0A9" w14:textId="77777777" w:rsidR="00183AB2" w:rsidRPr="00197953" w:rsidRDefault="00183AB2" w:rsidP="00183AB2">
      <w:pPr>
        <w:rPr>
          <w:szCs w:val="22"/>
        </w:rPr>
      </w:pPr>
    </w:p>
    <w:p w14:paraId="2C9ADA02" w14:textId="3D5449DA" w:rsidR="00183AB2" w:rsidRPr="00197953" w:rsidRDefault="00183AB2" w:rsidP="00183AB2">
      <w:pPr>
        <w:ind w:left="720"/>
        <w:rPr>
          <w:i/>
          <w:szCs w:val="22"/>
        </w:rPr>
      </w:pPr>
      <w:r w:rsidRPr="00197953">
        <w:rPr>
          <w:i/>
          <w:szCs w:val="22"/>
        </w:rPr>
        <w:t xml:space="preserve">Fan </w:t>
      </w:r>
      <w:r w:rsidR="00CC182D">
        <w:rPr>
          <w:i/>
          <w:szCs w:val="22"/>
        </w:rPr>
        <w:t xml:space="preserve">System </w:t>
      </w:r>
      <w:r w:rsidRPr="00197953">
        <w:rPr>
          <w:i/>
          <w:szCs w:val="22"/>
        </w:rPr>
        <w:t xml:space="preserve">Energy Savings [kWh/ton-year] = Base Case Annual Fan </w:t>
      </w:r>
      <w:r w:rsidR="00CC182D">
        <w:rPr>
          <w:i/>
          <w:szCs w:val="22"/>
        </w:rPr>
        <w:t xml:space="preserve">System </w:t>
      </w:r>
      <w:r w:rsidRPr="00197953">
        <w:rPr>
          <w:i/>
          <w:szCs w:val="22"/>
        </w:rPr>
        <w:t>Ene</w:t>
      </w:r>
      <w:r>
        <w:rPr>
          <w:i/>
          <w:szCs w:val="22"/>
        </w:rPr>
        <w:t xml:space="preserve">rgy Use – Measure Case Annual Fan </w:t>
      </w:r>
      <w:r w:rsidR="00CC182D">
        <w:rPr>
          <w:i/>
          <w:szCs w:val="22"/>
        </w:rPr>
        <w:t xml:space="preserve">System </w:t>
      </w:r>
      <w:r>
        <w:rPr>
          <w:i/>
          <w:szCs w:val="22"/>
        </w:rPr>
        <w:t>Energy Use</w:t>
      </w:r>
    </w:p>
    <w:p w14:paraId="4BAA46CF" w14:textId="77777777" w:rsidR="00183AB2" w:rsidRPr="00197953" w:rsidRDefault="00183AB2" w:rsidP="00183AB2">
      <w:pPr>
        <w:ind w:left="1440"/>
        <w:rPr>
          <w:i/>
          <w:szCs w:val="22"/>
        </w:rPr>
      </w:pPr>
      <w:r w:rsidRPr="00197953">
        <w:rPr>
          <w:i/>
          <w:szCs w:val="22"/>
        </w:rPr>
        <w:t>Where:</w:t>
      </w:r>
    </w:p>
    <w:p w14:paraId="5E6B42FF" w14:textId="65A1F3DB" w:rsidR="00183AB2" w:rsidRPr="00197953" w:rsidRDefault="00183AB2" w:rsidP="00183AB2">
      <w:pPr>
        <w:ind w:left="2160"/>
        <w:rPr>
          <w:i/>
          <w:szCs w:val="22"/>
        </w:rPr>
      </w:pPr>
      <w:r w:rsidRPr="00197953">
        <w:rPr>
          <w:i/>
          <w:szCs w:val="22"/>
        </w:rPr>
        <w:t xml:space="preserve">Base Case Annual Fan </w:t>
      </w:r>
      <w:r w:rsidR="00CC182D">
        <w:rPr>
          <w:i/>
          <w:szCs w:val="22"/>
        </w:rPr>
        <w:t xml:space="preserve">System </w:t>
      </w:r>
      <w:r w:rsidRPr="00197953">
        <w:rPr>
          <w:i/>
          <w:szCs w:val="22"/>
        </w:rPr>
        <w:t>Energy Use = Output from eQUEST runs</w:t>
      </w:r>
    </w:p>
    <w:p w14:paraId="238EFE61" w14:textId="17BBF906" w:rsidR="00183AB2" w:rsidRPr="00BA59FF" w:rsidRDefault="00183AB2" w:rsidP="00AA5A92">
      <w:pPr>
        <w:ind w:left="2160"/>
        <w:rPr>
          <w:szCs w:val="22"/>
          <w:highlight w:val="yellow"/>
        </w:rPr>
      </w:pPr>
      <w:r>
        <w:rPr>
          <w:i/>
          <w:szCs w:val="22"/>
        </w:rPr>
        <w:t>Measure</w:t>
      </w:r>
      <w:r w:rsidRPr="00197953">
        <w:rPr>
          <w:i/>
          <w:szCs w:val="22"/>
        </w:rPr>
        <w:t xml:space="preserve"> Case Annual Fan </w:t>
      </w:r>
      <w:r w:rsidR="00CC182D">
        <w:rPr>
          <w:i/>
          <w:szCs w:val="22"/>
        </w:rPr>
        <w:t xml:space="preserve">System </w:t>
      </w:r>
      <w:r w:rsidRPr="00197953">
        <w:rPr>
          <w:i/>
          <w:szCs w:val="22"/>
        </w:rPr>
        <w:t>Energy Use = Output from eQUEST runs</w:t>
      </w:r>
    </w:p>
    <w:p w14:paraId="3FC191A0" w14:textId="77777777" w:rsidR="00183AB2" w:rsidRDefault="00183AB2" w:rsidP="00183AB2">
      <w:pPr>
        <w:pStyle w:val="Heading3"/>
        <w:rPr>
          <w:rFonts w:ascii="Calibri" w:hAnsi="Calibri" w:cs="Calibri"/>
          <w:sz w:val="28"/>
          <w:szCs w:val="22"/>
        </w:rPr>
      </w:pPr>
      <w:bookmarkStart w:id="21" w:name="_Toc390445337"/>
      <w:r>
        <w:rPr>
          <w:rFonts w:ascii="Calibri" w:hAnsi="Calibri" w:cs="Calibri"/>
          <w:sz w:val="28"/>
          <w:szCs w:val="22"/>
        </w:rPr>
        <w:t>Base Case</w:t>
      </w:r>
      <w:bookmarkEnd w:id="21"/>
    </w:p>
    <w:p w14:paraId="720B8CF1" w14:textId="3FF3B420" w:rsidR="00183AB2" w:rsidRDefault="00183AB2" w:rsidP="00952D7F">
      <w:pPr>
        <w:rPr>
          <w:szCs w:val="22"/>
        </w:rPr>
      </w:pPr>
      <w:r w:rsidRPr="002C1723">
        <w:rPr>
          <w:szCs w:val="22"/>
        </w:rPr>
        <w:t>The base case is the existing system as described by the unmodified DEER prototype models as described in Section</w:t>
      </w:r>
      <w:r w:rsidR="00D9659C">
        <w:rPr>
          <w:szCs w:val="22"/>
        </w:rPr>
        <w:t>s 1.4.1.</w:t>
      </w:r>
      <w:r w:rsidR="002C1723">
        <w:rPr>
          <w:szCs w:val="22"/>
        </w:rPr>
        <w:t xml:space="preserve"> </w:t>
      </w:r>
      <w:r w:rsidR="00D9659C">
        <w:rPr>
          <w:szCs w:val="22"/>
        </w:rPr>
        <w:t xml:space="preserve"> </w:t>
      </w:r>
      <w:r>
        <w:rPr>
          <w:szCs w:val="22"/>
        </w:rPr>
        <w:t>The electric demand reduction</w:t>
      </w:r>
      <w:r w:rsidRPr="00197953">
        <w:rPr>
          <w:szCs w:val="22"/>
        </w:rPr>
        <w:t xml:space="preserve"> for the HVAC Fans Cogged V-Belt </w:t>
      </w:r>
      <w:r w:rsidRPr="00197953">
        <w:rPr>
          <w:szCs w:val="22"/>
        </w:rPr>
        <w:lastRenderedPageBreak/>
        <w:t xml:space="preserve">Replacement measure </w:t>
      </w:r>
      <w:r>
        <w:rPr>
          <w:szCs w:val="22"/>
        </w:rPr>
        <w:t>is</w:t>
      </w:r>
      <w:r w:rsidRPr="00197953">
        <w:rPr>
          <w:szCs w:val="22"/>
        </w:rPr>
        <w:t xml:space="preserve"> estimated </w:t>
      </w:r>
      <w:r>
        <w:rPr>
          <w:szCs w:val="22"/>
        </w:rPr>
        <w:t>according to the DEER</w:t>
      </w:r>
      <w:r w:rsidR="00D9659C">
        <w:rPr>
          <w:szCs w:val="22"/>
        </w:rPr>
        <w:t>2014</w:t>
      </w:r>
      <w:r>
        <w:rPr>
          <w:szCs w:val="22"/>
        </w:rPr>
        <w:t xml:space="preserve"> peak demand period definitions. The DEER peak demand period methodology requires taking the average hourly peak demand during a defined time period for both the baseline and measure case. </w:t>
      </w:r>
    </w:p>
    <w:p w14:paraId="402AF243" w14:textId="77777777" w:rsidR="00183AB2" w:rsidRPr="00197953" w:rsidRDefault="00183AB2" w:rsidP="00183AB2">
      <w:pPr>
        <w:rPr>
          <w:szCs w:val="22"/>
        </w:rPr>
      </w:pPr>
      <w:r>
        <w:rPr>
          <w:szCs w:val="22"/>
        </w:rPr>
        <w:t>The electric demand reduction for the HVAC Fans Cogged V-Belt Replacement measure is then estimated as follows:</w:t>
      </w:r>
    </w:p>
    <w:p w14:paraId="4A9CBFCB" w14:textId="77777777" w:rsidR="00183AB2" w:rsidRPr="00197953" w:rsidRDefault="00183AB2" w:rsidP="00183AB2">
      <w:pPr>
        <w:rPr>
          <w:szCs w:val="22"/>
        </w:rPr>
      </w:pPr>
    </w:p>
    <w:p w14:paraId="7A76A536" w14:textId="4B5CB9C2" w:rsidR="00183AB2" w:rsidRPr="00197953" w:rsidRDefault="00183AB2" w:rsidP="00183AB2">
      <w:pPr>
        <w:ind w:left="720"/>
        <w:rPr>
          <w:i/>
          <w:szCs w:val="22"/>
        </w:rPr>
      </w:pPr>
      <w:r>
        <w:rPr>
          <w:i/>
          <w:szCs w:val="22"/>
        </w:rPr>
        <w:t>Fan</w:t>
      </w:r>
      <w:r w:rsidR="00CC182D">
        <w:rPr>
          <w:i/>
          <w:szCs w:val="22"/>
        </w:rPr>
        <w:t xml:space="preserve"> System</w:t>
      </w:r>
      <w:r>
        <w:rPr>
          <w:i/>
          <w:szCs w:val="22"/>
        </w:rPr>
        <w:t xml:space="preserve"> Demand Reduction [kW</w:t>
      </w:r>
      <w:r w:rsidRPr="00197953">
        <w:rPr>
          <w:i/>
          <w:szCs w:val="22"/>
        </w:rPr>
        <w:t>/ton-</w:t>
      </w:r>
      <w:r>
        <w:rPr>
          <w:i/>
          <w:szCs w:val="22"/>
        </w:rPr>
        <w:t>year] = Base Case Peak Demand  – Measure Case Peak Demand</w:t>
      </w:r>
    </w:p>
    <w:p w14:paraId="34ACF9FC" w14:textId="77777777" w:rsidR="00183AB2" w:rsidRPr="00197953" w:rsidRDefault="00183AB2" w:rsidP="00183AB2">
      <w:pPr>
        <w:ind w:left="1440"/>
        <w:rPr>
          <w:i/>
          <w:szCs w:val="22"/>
        </w:rPr>
      </w:pPr>
      <w:r w:rsidRPr="00197953">
        <w:rPr>
          <w:i/>
          <w:szCs w:val="22"/>
        </w:rPr>
        <w:t>Where:</w:t>
      </w:r>
    </w:p>
    <w:p w14:paraId="6AFF0BA4" w14:textId="77777777" w:rsidR="00183AB2" w:rsidRPr="00197953" w:rsidRDefault="00183AB2" w:rsidP="00183AB2">
      <w:pPr>
        <w:ind w:left="2160"/>
        <w:rPr>
          <w:i/>
          <w:szCs w:val="22"/>
        </w:rPr>
      </w:pPr>
      <w:r>
        <w:rPr>
          <w:i/>
          <w:szCs w:val="22"/>
        </w:rPr>
        <w:t>Base Case Peak Demand</w:t>
      </w:r>
      <w:r w:rsidRPr="00197953">
        <w:rPr>
          <w:i/>
          <w:szCs w:val="22"/>
        </w:rPr>
        <w:t xml:space="preserve"> = </w:t>
      </w:r>
      <w:r>
        <w:rPr>
          <w:i/>
          <w:szCs w:val="22"/>
        </w:rPr>
        <w:t xml:space="preserve">Average Hourly DEER-defined Peak Demand from eQUEST Hourly </w:t>
      </w:r>
      <w:r w:rsidRPr="00197953">
        <w:rPr>
          <w:i/>
          <w:szCs w:val="22"/>
        </w:rPr>
        <w:t>Output</w:t>
      </w:r>
    </w:p>
    <w:p w14:paraId="556E7D46" w14:textId="77777777" w:rsidR="00183AB2" w:rsidRPr="004C7CB9" w:rsidRDefault="00183AB2" w:rsidP="00183AB2">
      <w:pPr>
        <w:ind w:left="2160"/>
        <w:rPr>
          <w:i/>
          <w:szCs w:val="22"/>
        </w:rPr>
      </w:pPr>
      <w:r>
        <w:rPr>
          <w:i/>
          <w:szCs w:val="22"/>
        </w:rPr>
        <w:t>Measure Case Peak Demand</w:t>
      </w:r>
      <w:r w:rsidRPr="00197953">
        <w:rPr>
          <w:i/>
          <w:szCs w:val="22"/>
        </w:rPr>
        <w:t xml:space="preserve">  = </w:t>
      </w:r>
      <w:r>
        <w:rPr>
          <w:i/>
          <w:szCs w:val="22"/>
        </w:rPr>
        <w:t xml:space="preserve">Average Hourly DEER-defined Peak Demand from eQUEST Hourly </w:t>
      </w:r>
      <w:r w:rsidRPr="00197953">
        <w:rPr>
          <w:i/>
          <w:szCs w:val="22"/>
        </w:rPr>
        <w:t>Output</w:t>
      </w:r>
    </w:p>
    <w:p w14:paraId="0AC8D973" w14:textId="035204E6" w:rsidR="00183AB2" w:rsidRDefault="00183AB2" w:rsidP="00183AB2">
      <w:pPr>
        <w:pStyle w:val="Heading2"/>
      </w:pPr>
      <w:r>
        <w:t>2.</w:t>
      </w:r>
      <w:r w:rsidR="00A50D3F">
        <w:t xml:space="preserve">3 </w:t>
      </w:r>
      <w:r>
        <w:t>Gas Energy Savings Estimation Methodologies</w:t>
      </w:r>
    </w:p>
    <w:p w14:paraId="0C4C6F51" w14:textId="599930C4" w:rsidR="00D9073C" w:rsidRDefault="00F5193F" w:rsidP="00D9073C">
      <w:r>
        <w:rPr>
          <w:szCs w:val="22"/>
        </w:rPr>
        <w:t xml:space="preserve">The SCE measure does not distinguish between system type and therefore does not estimate gas savings. </w:t>
      </w:r>
    </w:p>
    <w:p w14:paraId="6B572913" w14:textId="77777777" w:rsidR="00E16609" w:rsidRPr="00397406" w:rsidRDefault="00E16609" w:rsidP="00E16609">
      <w:pPr>
        <w:pStyle w:val="Heading1"/>
        <w:keepNext w:val="0"/>
        <w:rPr>
          <w:rFonts w:cstheme="minorHAnsi"/>
        </w:rPr>
      </w:pPr>
      <w:r w:rsidRPr="00397406">
        <w:rPr>
          <w:rFonts w:cstheme="minorHAnsi"/>
        </w:rPr>
        <w:t>Section 3</w:t>
      </w:r>
      <w:r w:rsidR="001D3223" w:rsidRPr="00397406">
        <w:rPr>
          <w:rFonts w:cstheme="minorHAnsi"/>
        </w:rPr>
        <w:t>:</w:t>
      </w:r>
      <w:r w:rsidRPr="00397406">
        <w:rPr>
          <w:rFonts w:cstheme="minorHAnsi"/>
        </w:rPr>
        <w:t xml:space="preserve"> Load Shape</w:t>
      </w:r>
      <w:bookmarkEnd w:id="19"/>
      <w:r w:rsidRPr="00397406">
        <w:rPr>
          <w:rFonts w:cstheme="minorHAnsi"/>
        </w:rPr>
        <w:t>s</w:t>
      </w:r>
    </w:p>
    <w:p w14:paraId="09CFB604" w14:textId="029FB97F" w:rsidR="00183AB2" w:rsidRPr="00CE2B95" w:rsidRDefault="00183AB2" w:rsidP="00183AB2">
      <w:r w:rsidRPr="00CE2B95">
        <w:t>The difference between the base case load shape and the measure load shape would be the most appropriate load shape; however, only e</w:t>
      </w:r>
      <w:r>
        <w:t xml:space="preserve">nd-use profiles are available. </w:t>
      </w:r>
      <w:r w:rsidRPr="00CE2B95">
        <w:t>Therefore, the closest load shape chosen for this measure is the DEER: HVA</w:t>
      </w:r>
      <w:r>
        <w:t xml:space="preserve">C_Split-Package_AC load shape. See </w:t>
      </w:r>
      <w:r w:rsidR="00C81980">
        <w:t xml:space="preserve">table below </w:t>
      </w:r>
      <w:r w:rsidRPr="00CE2B95">
        <w:t>for a list of all B</w:t>
      </w:r>
      <w:r>
        <w:t>uilding Types and Load Shapes. A</w:t>
      </w:r>
      <w:r w:rsidRPr="00CE2B95">
        <w:t xml:space="preserve"> more thorough discussion regarding the load shapes for this measure</w:t>
      </w:r>
      <w:r>
        <w:t xml:space="preserve"> is available [31]</w:t>
      </w:r>
      <w:r w:rsidRPr="00CE2B95">
        <w:t>. The closest load shape chosen is indicated below:</w:t>
      </w:r>
    </w:p>
    <w:p w14:paraId="618F0247" w14:textId="77777777" w:rsidR="006D6289" w:rsidRDefault="006D6289" w:rsidP="003F0623">
      <w:pPr>
        <w:pStyle w:val="Caption"/>
        <w:jc w:val="center"/>
        <w:rPr>
          <w:rFonts w:cstheme="minorHAnsi"/>
          <w:szCs w:val="22"/>
        </w:rPr>
      </w:pPr>
      <w:bookmarkStart w:id="22" w:name="_Ref296597958"/>
    </w:p>
    <w:bookmarkEnd w:id="22"/>
    <w:p w14:paraId="40BDF2C1" w14:textId="676FCBA2" w:rsidR="00E16609" w:rsidRPr="00397406" w:rsidRDefault="002A3D26" w:rsidP="003F0623">
      <w:pPr>
        <w:pStyle w:val="Caption"/>
        <w:jc w:val="center"/>
        <w:rPr>
          <w:rFonts w:cstheme="minorHAnsi"/>
          <w:b w:val="0"/>
          <w:szCs w:val="22"/>
        </w:rPr>
      </w:pPr>
      <w:r w:rsidRPr="00397406">
        <w:rPr>
          <w:rFonts w:cstheme="minorHAnsi"/>
          <w:szCs w:val="22"/>
        </w:rPr>
        <w:t>Building Types</w:t>
      </w:r>
      <w:r w:rsidR="00E16609" w:rsidRPr="00397406">
        <w:rPr>
          <w:rFonts w:cstheme="minorHAnsi"/>
          <w:szCs w:val="22"/>
        </w:rPr>
        <w:t xml:space="preserve"> and Load Shapes</w:t>
      </w:r>
    </w:p>
    <w:tbl>
      <w:tblPr>
        <w:tblStyle w:val="TableContemporary"/>
        <w:tblW w:w="46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7"/>
        <w:gridCol w:w="3078"/>
        <w:gridCol w:w="2656"/>
      </w:tblGrid>
      <w:tr w:rsidR="00263C1C" w:rsidRPr="00397406" w14:paraId="77540460" w14:textId="77777777" w:rsidTr="00C74D45">
        <w:trPr>
          <w:cnfStyle w:val="100000000000" w:firstRow="1" w:lastRow="0" w:firstColumn="0" w:lastColumn="0" w:oddVBand="0" w:evenVBand="0" w:oddHBand="0" w:evenHBand="0" w:firstRowFirstColumn="0" w:firstRowLastColumn="0" w:lastRowFirstColumn="0" w:lastRowLastColumn="0"/>
          <w:jc w:val="center"/>
        </w:trPr>
        <w:tc>
          <w:tcPr>
            <w:tcW w:w="1686" w:type="pct"/>
          </w:tcPr>
          <w:p w14:paraId="52169E1F" w14:textId="77777777" w:rsidR="00263C1C" w:rsidRPr="00397406" w:rsidRDefault="00263C1C" w:rsidP="00BA2E7E">
            <w:pPr>
              <w:rPr>
                <w:rFonts w:cstheme="minorHAnsi"/>
                <w:szCs w:val="20"/>
                <w:highlight w:val="yellow"/>
              </w:rPr>
            </w:pPr>
            <w:r w:rsidRPr="00397406">
              <w:rPr>
                <w:rFonts w:cstheme="minorHAnsi"/>
                <w:szCs w:val="20"/>
              </w:rPr>
              <w:t>Building Type</w:t>
            </w:r>
          </w:p>
        </w:tc>
        <w:tc>
          <w:tcPr>
            <w:tcW w:w="1779" w:type="pct"/>
          </w:tcPr>
          <w:p w14:paraId="48BCDF8E" w14:textId="77777777" w:rsidR="00263C1C" w:rsidRPr="00397406" w:rsidRDefault="00263C1C" w:rsidP="00BA2E7E">
            <w:pPr>
              <w:rPr>
                <w:rFonts w:cstheme="minorHAnsi"/>
                <w:szCs w:val="20"/>
              </w:rPr>
            </w:pPr>
            <w:r w:rsidRPr="00397406">
              <w:rPr>
                <w:rFonts w:cstheme="minorHAnsi"/>
                <w:szCs w:val="20"/>
              </w:rPr>
              <w:t>Load Shape</w:t>
            </w:r>
          </w:p>
        </w:tc>
        <w:tc>
          <w:tcPr>
            <w:tcW w:w="1535" w:type="pct"/>
          </w:tcPr>
          <w:p w14:paraId="10D931B1" w14:textId="2FC71270" w:rsidR="00263C1C" w:rsidRPr="00397406" w:rsidRDefault="00263C1C" w:rsidP="00BA2E7E">
            <w:pPr>
              <w:rPr>
                <w:rFonts w:cstheme="minorHAnsi"/>
                <w:szCs w:val="20"/>
                <w:highlight w:val="yellow"/>
              </w:rPr>
            </w:pPr>
            <w:r w:rsidRPr="00397406">
              <w:rPr>
                <w:rFonts w:cstheme="minorHAnsi"/>
                <w:szCs w:val="20"/>
              </w:rPr>
              <w:t>E3 Alt</w:t>
            </w:r>
            <w:r w:rsidR="00D9659C">
              <w:rPr>
                <w:rFonts w:cstheme="minorHAnsi"/>
                <w:szCs w:val="20"/>
              </w:rPr>
              <w:t>ernate</w:t>
            </w:r>
            <w:r w:rsidR="00C74D45">
              <w:rPr>
                <w:rFonts w:cstheme="minorHAnsi"/>
                <w:szCs w:val="20"/>
              </w:rPr>
              <w:t xml:space="preserve"> </w:t>
            </w:r>
            <w:r w:rsidRPr="00397406">
              <w:rPr>
                <w:rFonts w:cstheme="minorHAnsi"/>
                <w:szCs w:val="20"/>
              </w:rPr>
              <w:t>Building Type</w:t>
            </w:r>
          </w:p>
        </w:tc>
      </w:tr>
      <w:tr w:rsidR="00183AB2" w:rsidRPr="00397406" w14:paraId="477CB002" w14:textId="77777777" w:rsidTr="00C74D45">
        <w:trPr>
          <w:cnfStyle w:val="000000100000" w:firstRow="0" w:lastRow="0" w:firstColumn="0" w:lastColumn="0" w:oddVBand="0" w:evenVBand="0" w:oddHBand="1" w:evenHBand="0" w:firstRowFirstColumn="0" w:firstRowLastColumn="0" w:lastRowFirstColumn="0" w:lastRowLastColumn="0"/>
          <w:jc w:val="center"/>
        </w:trPr>
        <w:tc>
          <w:tcPr>
            <w:tcW w:w="1686" w:type="pct"/>
            <w:shd w:val="clear" w:color="auto" w:fill="auto"/>
          </w:tcPr>
          <w:p w14:paraId="6D38D61A" w14:textId="77777777" w:rsidR="00183AB2" w:rsidRPr="00397406" w:rsidRDefault="00183AB2" w:rsidP="00BA2E7E">
            <w:pPr>
              <w:rPr>
                <w:rFonts w:cstheme="minorHAnsi"/>
                <w:szCs w:val="20"/>
              </w:rPr>
            </w:pPr>
            <w:r>
              <w:rPr>
                <w:rFonts w:cstheme="minorHAnsi"/>
                <w:szCs w:val="20"/>
              </w:rPr>
              <w:t>All</w:t>
            </w:r>
          </w:p>
        </w:tc>
        <w:tc>
          <w:tcPr>
            <w:tcW w:w="1779" w:type="pct"/>
            <w:shd w:val="clear" w:color="auto" w:fill="auto"/>
            <w:vAlign w:val="center"/>
          </w:tcPr>
          <w:p w14:paraId="387A8DC5" w14:textId="77777777" w:rsidR="00183AB2" w:rsidRPr="00683518" w:rsidRDefault="00183AB2" w:rsidP="007221C8">
            <w:pPr>
              <w:jc w:val="center"/>
              <w:rPr>
                <w:szCs w:val="20"/>
              </w:rPr>
            </w:pPr>
            <w:r w:rsidRPr="00683518">
              <w:rPr>
                <w:szCs w:val="20"/>
              </w:rPr>
              <w:t>DEER: HVAC_Split-Package_AC</w:t>
            </w:r>
          </w:p>
        </w:tc>
        <w:tc>
          <w:tcPr>
            <w:tcW w:w="1535" w:type="pct"/>
            <w:shd w:val="clear" w:color="auto" w:fill="auto"/>
          </w:tcPr>
          <w:p w14:paraId="509D8ED0" w14:textId="77777777" w:rsidR="00183AB2" w:rsidRPr="00397406" w:rsidRDefault="00183AB2" w:rsidP="00BA2E7E">
            <w:pPr>
              <w:rPr>
                <w:rFonts w:cstheme="minorHAnsi"/>
                <w:szCs w:val="20"/>
              </w:rPr>
            </w:pPr>
            <w:r w:rsidRPr="00397406">
              <w:rPr>
                <w:rFonts w:cstheme="minorHAnsi"/>
                <w:szCs w:val="20"/>
              </w:rPr>
              <w:t>NON_RES</w:t>
            </w:r>
          </w:p>
        </w:tc>
      </w:tr>
    </w:tbl>
    <w:p w14:paraId="5FE25BAD" w14:textId="77777777" w:rsidR="00D9073C" w:rsidRDefault="00D9073C" w:rsidP="00D9073C">
      <w:bookmarkStart w:id="23" w:name="_Toc214003096"/>
    </w:p>
    <w:p w14:paraId="41232E58" w14:textId="77777777" w:rsidR="00A50D3F" w:rsidRDefault="00A50D3F" w:rsidP="00A50D3F">
      <w:pPr>
        <w:pStyle w:val="Heading1"/>
      </w:pPr>
      <w:r>
        <w:t>Section 4. Costs</w:t>
      </w:r>
    </w:p>
    <w:p w14:paraId="596D86EF" w14:textId="77777777" w:rsidR="00E16609" w:rsidRPr="00397406" w:rsidRDefault="00E16609" w:rsidP="00824F1C">
      <w:pPr>
        <w:pStyle w:val="Heading2"/>
        <w:rPr>
          <w:rFonts w:asciiTheme="minorHAnsi" w:hAnsiTheme="minorHAnsi" w:cstheme="minorHAnsi"/>
        </w:rPr>
      </w:pPr>
      <w:bookmarkStart w:id="24" w:name="_MON_1399297811"/>
      <w:bookmarkStart w:id="25" w:name="_Toc214003097"/>
      <w:bookmarkEnd w:id="23"/>
      <w:bookmarkEnd w:id="24"/>
      <w:r w:rsidRPr="00397406">
        <w:rPr>
          <w:rFonts w:asciiTheme="minorHAnsi" w:hAnsiTheme="minorHAnsi" w:cstheme="minorHAnsi"/>
        </w:rPr>
        <w:t>4.1 Base Case Cost</w:t>
      </w:r>
      <w:bookmarkEnd w:id="25"/>
    </w:p>
    <w:p w14:paraId="4BF81F2D" w14:textId="77777777" w:rsidR="001A402E" w:rsidRDefault="001A402E" w:rsidP="00183AB2">
      <w:bookmarkStart w:id="26" w:name="_Toc214003098"/>
    </w:p>
    <w:p w14:paraId="08D0E352" w14:textId="23DCAC37" w:rsidR="001A402E" w:rsidRDefault="001A402E" w:rsidP="00183AB2">
      <w:r>
        <w:t>Methodology outlined below is followed to calculate baseline equipment cost:</w:t>
      </w:r>
    </w:p>
    <w:p w14:paraId="7A311473" w14:textId="77777777" w:rsidR="001A402E" w:rsidRDefault="001A402E" w:rsidP="00183AB2"/>
    <w:p w14:paraId="3E55101B" w14:textId="7BFF5E4E" w:rsidR="001A402E" w:rsidRDefault="001A402E" w:rsidP="00C74D45">
      <w:pPr>
        <w:pStyle w:val="ListParagraph"/>
        <w:numPr>
          <w:ilvl w:val="0"/>
          <w:numId w:val="21"/>
        </w:numPr>
        <w:ind w:left="360"/>
      </w:pPr>
      <w:r>
        <w:t xml:space="preserve">Costs of industry standard V-Belts of types A and B for sizes 20”, 40”, 60”, and 80” were taken from the </w:t>
      </w:r>
      <w:r w:rsidR="00D9659C">
        <w:t xml:space="preserve">2018 </w:t>
      </w:r>
      <w:r>
        <w:t>online cost database Grainger.com.</w:t>
      </w:r>
    </w:p>
    <w:p w14:paraId="720F7337" w14:textId="77777777" w:rsidR="001A402E" w:rsidRDefault="001A402E" w:rsidP="00C74D45">
      <w:pPr>
        <w:pStyle w:val="ListParagraph"/>
        <w:ind w:left="360"/>
      </w:pPr>
    </w:p>
    <w:p w14:paraId="23864B9C" w14:textId="041D214B" w:rsidR="001A402E" w:rsidRDefault="001A402E" w:rsidP="00C74D45">
      <w:pPr>
        <w:pStyle w:val="ListParagraph"/>
        <w:numPr>
          <w:ilvl w:val="0"/>
          <w:numId w:val="21"/>
        </w:numPr>
        <w:ind w:left="360"/>
      </w:pPr>
      <w:r>
        <w:t>Average cost per inch of standard belt was calculated from the above step.</w:t>
      </w:r>
    </w:p>
    <w:p w14:paraId="1C05491E" w14:textId="77777777" w:rsidR="001A402E" w:rsidRDefault="001A402E" w:rsidP="00C74D45">
      <w:pPr>
        <w:pStyle w:val="ListParagraph"/>
        <w:ind w:left="360"/>
      </w:pPr>
    </w:p>
    <w:p w14:paraId="60D739C6" w14:textId="6C92FE47" w:rsidR="00C07FA7" w:rsidRDefault="00052027" w:rsidP="00C74D45">
      <w:pPr>
        <w:pStyle w:val="ListParagraph"/>
        <w:numPr>
          <w:ilvl w:val="0"/>
          <w:numId w:val="21"/>
        </w:numPr>
        <w:ind w:left="360"/>
      </w:pPr>
      <w:r>
        <w:t>Given program participation data for 2010 – 2017, p</w:t>
      </w:r>
      <w:r w:rsidR="001A402E">
        <w:t xml:space="preserve">ackage units of sizes </w:t>
      </w:r>
      <w:r w:rsidR="005D6C0F">
        <w:t>7.5</w:t>
      </w:r>
      <w:r w:rsidR="001A402E">
        <w:t xml:space="preserve">-ton </w:t>
      </w:r>
      <w:r w:rsidR="005D6C0F">
        <w:t>and</w:t>
      </w:r>
      <w:r w:rsidR="001A402E">
        <w:t xml:space="preserve"> </w:t>
      </w:r>
      <w:r w:rsidR="005D6C0F">
        <w:t>1</w:t>
      </w:r>
      <w:r w:rsidR="001A402E">
        <w:t xml:space="preserve">0-ton </w:t>
      </w:r>
      <w:r w:rsidR="00C07FA7">
        <w:t xml:space="preserve">with various belt lengths </w:t>
      </w:r>
      <w:r w:rsidR="001A402E">
        <w:t xml:space="preserve">were considered and cost per belt was </w:t>
      </w:r>
      <w:r w:rsidR="00C07FA7">
        <w:t>estimated for each unit</w:t>
      </w:r>
      <w:r w:rsidR="005D6C0F">
        <w:t xml:space="preserve"> by multiplying cost per inch from Step 2 and belt length</w:t>
      </w:r>
      <w:r w:rsidR="001A402E">
        <w:t>.</w:t>
      </w:r>
      <w:r w:rsidR="003500DA">
        <w:t xml:space="preserve"> The unit capacities were based on SCE provided mean and standard deviation estimates of systems capacities per program participation. </w:t>
      </w:r>
    </w:p>
    <w:p w14:paraId="3E65B722" w14:textId="77777777" w:rsidR="00C07FA7" w:rsidRDefault="00C07FA7" w:rsidP="00C74D45">
      <w:pPr>
        <w:pStyle w:val="ListParagraph"/>
        <w:ind w:left="360"/>
      </w:pPr>
    </w:p>
    <w:p w14:paraId="06510AE0" w14:textId="02757D1F" w:rsidR="001A402E" w:rsidRDefault="00C07FA7" w:rsidP="00C74D45">
      <w:pPr>
        <w:pStyle w:val="ListParagraph"/>
        <w:numPr>
          <w:ilvl w:val="0"/>
          <w:numId w:val="21"/>
        </w:numPr>
        <w:ind w:left="360"/>
      </w:pPr>
      <w:r>
        <w:t>From the above step, cost of standard belt per ton was then calculated</w:t>
      </w:r>
      <w:r w:rsidR="005D6C0F">
        <w:t xml:space="preserve"> by dividing cost per belt by system tonnage</w:t>
      </w:r>
      <w:r>
        <w:t>.</w:t>
      </w:r>
      <w:r w:rsidR="001A402E">
        <w:t xml:space="preserve"> </w:t>
      </w:r>
    </w:p>
    <w:p w14:paraId="74A91126" w14:textId="77777777" w:rsidR="00C07FA7" w:rsidRDefault="00C07FA7" w:rsidP="00C74D45">
      <w:pPr>
        <w:pStyle w:val="ListParagraph"/>
        <w:ind w:left="360"/>
      </w:pPr>
    </w:p>
    <w:p w14:paraId="073AC520" w14:textId="71A4980D" w:rsidR="00C07FA7" w:rsidRDefault="00C07FA7" w:rsidP="00C74D45">
      <w:pPr>
        <w:pStyle w:val="ListParagraph"/>
        <w:numPr>
          <w:ilvl w:val="0"/>
          <w:numId w:val="21"/>
        </w:numPr>
        <w:ind w:left="360"/>
      </w:pPr>
      <w:r>
        <w:t xml:space="preserve">Labor cost per hour </w:t>
      </w:r>
      <w:r w:rsidR="0059228A">
        <w:t xml:space="preserve">of $70.69 </w:t>
      </w:r>
      <w:r>
        <w:t xml:space="preserve">for HVAC Package unit was taken from </w:t>
      </w:r>
      <w:r w:rsidR="009C001F">
        <w:t xml:space="preserve">2010-2012 WO017 Cost Study Report </w:t>
      </w:r>
      <w:r w:rsidR="0059228A">
        <w:t xml:space="preserve">[475] </w:t>
      </w:r>
      <w:r w:rsidR="009C001F">
        <w:t xml:space="preserve">from </w:t>
      </w:r>
      <w:r w:rsidR="009C001F" w:rsidRPr="00C74D45">
        <w:rPr>
          <w:i/>
        </w:rPr>
        <w:t>Table 4-3: Installation Cost Estimates for Split-System and Packaged DX and HP</w:t>
      </w:r>
      <w:r w:rsidR="009C001F">
        <w:rPr>
          <w:i/>
        </w:rPr>
        <w:t xml:space="preserve"> </w:t>
      </w:r>
      <w:r w:rsidR="009C001F">
        <w:t>for Small and Large Package Unit DX systems</w:t>
      </w:r>
      <w:r>
        <w:t>. It was assumed that it would take around 20 minutes to replace the belt. Cost per belt was estimated based on this assumption at $2</w:t>
      </w:r>
      <w:r w:rsidR="00FC044F">
        <w:t>3</w:t>
      </w:r>
      <w:r>
        <w:t>.</w:t>
      </w:r>
      <w:r w:rsidR="00FC044F">
        <w:t>56</w:t>
      </w:r>
      <w:r>
        <w:t xml:space="preserve"> per belt.</w:t>
      </w:r>
    </w:p>
    <w:p w14:paraId="061265F3" w14:textId="77777777" w:rsidR="00C07FA7" w:rsidRDefault="00C07FA7" w:rsidP="00C74D45">
      <w:pPr>
        <w:pStyle w:val="ListParagraph"/>
        <w:ind w:left="360"/>
      </w:pPr>
    </w:p>
    <w:p w14:paraId="3E0F3CF3" w14:textId="5BFA48D1" w:rsidR="00C07FA7" w:rsidRDefault="00C07FA7" w:rsidP="00C74D45">
      <w:pPr>
        <w:pStyle w:val="ListParagraph"/>
        <w:numPr>
          <w:ilvl w:val="0"/>
          <w:numId w:val="21"/>
        </w:numPr>
        <w:ind w:left="360"/>
      </w:pPr>
      <w:r>
        <w:t xml:space="preserve">Labor cost per ton </w:t>
      </w:r>
      <w:r w:rsidR="00005FA6">
        <w:t>was calculated by dividing cost per belt calculated in step 5 by unit size in tons</w:t>
      </w:r>
      <w:r>
        <w:t>.</w:t>
      </w:r>
    </w:p>
    <w:p w14:paraId="0A7D850B" w14:textId="77777777" w:rsidR="00C07FA7" w:rsidRDefault="00C07FA7" w:rsidP="00C74D45">
      <w:pPr>
        <w:pStyle w:val="ListParagraph"/>
        <w:ind w:left="360"/>
      </w:pPr>
    </w:p>
    <w:p w14:paraId="04123EC0" w14:textId="55846F88" w:rsidR="00C07FA7" w:rsidRDefault="00C07FA7" w:rsidP="00C74D45">
      <w:pPr>
        <w:pStyle w:val="ListParagraph"/>
        <w:numPr>
          <w:ilvl w:val="0"/>
          <w:numId w:val="21"/>
        </w:numPr>
        <w:ind w:left="360"/>
      </w:pPr>
      <w:r>
        <w:t>Base case total cost was calculated by adding material and labor costs from the above steps.</w:t>
      </w:r>
    </w:p>
    <w:p w14:paraId="63C791CB" w14:textId="77777777" w:rsidR="001A402E" w:rsidRDefault="001A402E" w:rsidP="00183AB2"/>
    <w:p w14:paraId="59DE5211" w14:textId="17C88BCB" w:rsidR="00183AB2" w:rsidRDefault="00C07FA7" w:rsidP="00183AB2">
      <w:r>
        <w:t>Below table shows the standard V-Belt costs:</w:t>
      </w:r>
    </w:p>
    <w:p w14:paraId="55D3CF99" w14:textId="77777777" w:rsidR="00C07FA7" w:rsidRPr="00993BD6" w:rsidRDefault="00C07FA7" w:rsidP="00183AB2"/>
    <w:tbl>
      <w:tblPr>
        <w:tblW w:w="3615" w:type="dxa"/>
        <w:jc w:val="center"/>
        <w:tblLayout w:type="fixed"/>
        <w:tblLook w:val="04A0" w:firstRow="1" w:lastRow="0" w:firstColumn="1" w:lastColumn="0" w:noHBand="0" w:noVBand="1"/>
      </w:tblPr>
      <w:tblGrid>
        <w:gridCol w:w="1165"/>
        <w:gridCol w:w="1059"/>
        <w:gridCol w:w="1391"/>
      </w:tblGrid>
      <w:tr w:rsidR="00C07FA7" w:rsidRPr="00C07FA7" w14:paraId="382E67A0" w14:textId="77777777" w:rsidTr="00C74D45">
        <w:trPr>
          <w:trHeight w:val="480"/>
          <w:jc w:val="center"/>
        </w:trPr>
        <w:tc>
          <w:tcPr>
            <w:tcW w:w="3615"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AAA73EF" w14:textId="77777777" w:rsidR="00C07FA7" w:rsidRPr="00C74D45" w:rsidRDefault="00C07FA7" w:rsidP="00C07FA7">
            <w:pPr>
              <w:jc w:val="center"/>
              <w:rPr>
                <w:b/>
                <w:bCs/>
                <w:color w:val="000000"/>
                <w:sz w:val="20"/>
                <w:szCs w:val="20"/>
              </w:rPr>
            </w:pPr>
            <w:r w:rsidRPr="00C74D45">
              <w:rPr>
                <w:b/>
                <w:bCs/>
                <w:color w:val="000000"/>
                <w:sz w:val="20"/>
                <w:szCs w:val="20"/>
              </w:rPr>
              <w:t>Standard V-Belt Cost</w:t>
            </w:r>
          </w:p>
        </w:tc>
      </w:tr>
      <w:tr w:rsidR="00C07FA7" w:rsidRPr="00C07FA7" w14:paraId="3009C50B" w14:textId="77777777" w:rsidTr="00C74D45">
        <w:trPr>
          <w:trHeight w:val="674"/>
          <w:jc w:val="center"/>
        </w:trPr>
        <w:tc>
          <w:tcPr>
            <w:tcW w:w="1165" w:type="dxa"/>
            <w:tcBorders>
              <w:top w:val="nil"/>
              <w:left w:val="single" w:sz="4" w:space="0" w:color="auto"/>
              <w:bottom w:val="single" w:sz="4" w:space="0" w:color="auto"/>
              <w:right w:val="single" w:sz="4" w:space="0" w:color="auto"/>
            </w:tcBorders>
            <w:shd w:val="clear" w:color="000000" w:fill="D9D9D9"/>
            <w:vAlign w:val="center"/>
            <w:hideMark/>
          </w:tcPr>
          <w:p w14:paraId="674A29C2" w14:textId="77777777" w:rsidR="00C07FA7" w:rsidRPr="00C74D45" w:rsidRDefault="00C07FA7" w:rsidP="00C07FA7">
            <w:pPr>
              <w:jc w:val="center"/>
              <w:rPr>
                <w:b/>
                <w:bCs/>
                <w:color w:val="000000"/>
                <w:sz w:val="20"/>
                <w:szCs w:val="20"/>
              </w:rPr>
            </w:pPr>
            <w:r w:rsidRPr="00C74D45">
              <w:rPr>
                <w:b/>
                <w:bCs/>
                <w:color w:val="000000"/>
                <w:sz w:val="20"/>
                <w:szCs w:val="20"/>
              </w:rPr>
              <w:t>Material Cost</w:t>
            </w:r>
            <w:r w:rsidRPr="00C74D45">
              <w:rPr>
                <w:b/>
                <w:bCs/>
                <w:color w:val="000000"/>
                <w:sz w:val="20"/>
                <w:szCs w:val="20"/>
              </w:rPr>
              <w:br/>
              <w:t>($/Ton)</w:t>
            </w:r>
          </w:p>
        </w:tc>
        <w:tc>
          <w:tcPr>
            <w:tcW w:w="1059" w:type="dxa"/>
            <w:tcBorders>
              <w:top w:val="nil"/>
              <w:left w:val="nil"/>
              <w:bottom w:val="single" w:sz="4" w:space="0" w:color="auto"/>
              <w:right w:val="single" w:sz="4" w:space="0" w:color="auto"/>
            </w:tcBorders>
            <w:shd w:val="clear" w:color="000000" w:fill="D9D9D9"/>
            <w:vAlign w:val="center"/>
            <w:hideMark/>
          </w:tcPr>
          <w:p w14:paraId="2330E001" w14:textId="77777777" w:rsidR="00C07FA7" w:rsidRPr="00C74D45" w:rsidRDefault="00C07FA7" w:rsidP="00C07FA7">
            <w:pPr>
              <w:jc w:val="center"/>
              <w:rPr>
                <w:b/>
                <w:bCs/>
                <w:color w:val="000000"/>
                <w:sz w:val="20"/>
                <w:szCs w:val="20"/>
              </w:rPr>
            </w:pPr>
            <w:r w:rsidRPr="00C74D45">
              <w:rPr>
                <w:b/>
                <w:bCs/>
                <w:color w:val="000000"/>
                <w:sz w:val="20"/>
                <w:szCs w:val="20"/>
              </w:rPr>
              <w:t>Labor Cost</w:t>
            </w:r>
            <w:r w:rsidRPr="00C74D45">
              <w:rPr>
                <w:b/>
                <w:bCs/>
                <w:color w:val="000000"/>
                <w:sz w:val="20"/>
                <w:szCs w:val="20"/>
              </w:rPr>
              <w:br/>
              <w:t>($/Ton)</w:t>
            </w:r>
          </w:p>
        </w:tc>
        <w:tc>
          <w:tcPr>
            <w:tcW w:w="1391" w:type="dxa"/>
            <w:tcBorders>
              <w:top w:val="nil"/>
              <w:left w:val="nil"/>
              <w:bottom w:val="single" w:sz="4" w:space="0" w:color="auto"/>
              <w:right w:val="single" w:sz="4" w:space="0" w:color="auto"/>
            </w:tcBorders>
            <w:shd w:val="clear" w:color="000000" w:fill="D9D9D9"/>
            <w:vAlign w:val="center"/>
            <w:hideMark/>
          </w:tcPr>
          <w:p w14:paraId="250E48C0" w14:textId="77777777" w:rsidR="00C07FA7" w:rsidRPr="00C74D45" w:rsidRDefault="00C07FA7" w:rsidP="00C07FA7">
            <w:pPr>
              <w:jc w:val="center"/>
              <w:rPr>
                <w:b/>
                <w:bCs/>
                <w:color w:val="000000"/>
                <w:sz w:val="20"/>
                <w:szCs w:val="20"/>
              </w:rPr>
            </w:pPr>
            <w:r w:rsidRPr="00C74D45">
              <w:rPr>
                <w:b/>
                <w:bCs/>
                <w:color w:val="000000"/>
                <w:sz w:val="20"/>
                <w:szCs w:val="20"/>
              </w:rPr>
              <w:t>Base Case Cost</w:t>
            </w:r>
            <w:r w:rsidRPr="00C74D45">
              <w:rPr>
                <w:b/>
                <w:bCs/>
                <w:color w:val="000000"/>
                <w:sz w:val="20"/>
                <w:szCs w:val="20"/>
              </w:rPr>
              <w:br/>
              <w:t>($/Ton)</w:t>
            </w:r>
          </w:p>
        </w:tc>
      </w:tr>
      <w:tr w:rsidR="00C07FA7" w:rsidRPr="00C07FA7" w14:paraId="4CA17E82" w14:textId="77777777" w:rsidTr="00C74D45">
        <w:trPr>
          <w:trHeight w:val="465"/>
          <w:jc w:val="center"/>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01D901EE" w14:textId="7391EF74" w:rsidR="00C07FA7" w:rsidRPr="00C74D45" w:rsidRDefault="00C07FA7">
            <w:pPr>
              <w:jc w:val="center"/>
              <w:rPr>
                <w:color w:val="000000"/>
                <w:sz w:val="20"/>
                <w:szCs w:val="20"/>
              </w:rPr>
            </w:pPr>
            <w:r w:rsidRPr="00C74D45">
              <w:rPr>
                <w:color w:val="000000"/>
                <w:sz w:val="20"/>
                <w:szCs w:val="20"/>
              </w:rPr>
              <w:t>$1.</w:t>
            </w:r>
            <w:r w:rsidR="009D550D">
              <w:rPr>
                <w:color w:val="000000"/>
                <w:sz w:val="20"/>
                <w:szCs w:val="20"/>
              </w:rPr>
              <w:t>90</w:t>
            </w:r>
          </w:p>
        </w:tc>
        <w:tc>
          <w:tcPr>
            <w:tcW w:w="1059" w:type="dxa"/>
            <w:tcBorders>
              <w:top w:val="nil"/>
              <w:left w:val="nil"/>
              <w:bottom w:val="single" w:sz="4" w:space="0" w:color="auto"/>
              <w:right w:val="single" w:sz="4" w:space="0" w:color="auto"/>
            </w:tcBorders>
            <w:shd w:val="clear" w:color="auto" w:fill="auto"/>
            <w:noWrap/>
            <w:vAlign w:val="center"/>
            <w:hideMark/>
          </w:tcPr>
          <w:p w14:paraId="7D2BAD25" w14:textId="4F13035E" w:rsidR="00C07FA7" w:rsidRPr="00C74D45" w:rsidRDefault="00C07FA7">
            <w:pPr>
              <w:jc w:val="center"/>
              <w:rPr>
                <w:color w:val="000000"/>
                <w:sz w:val="20"/>
                <w:szCs w:val="20"/>
              </w:rPr>
            </w:pPr>
            <w:r w:rsidRPr="00C74D45">
              <w:rPr>
                <w:color w:val="000000"/>
                <w:sz w:val="20"/>
                <w:szCs w:val="20"/>
              </w:rPr>
              <w:t>$2.</w:t>
            </w:r>
            <w:r w:rsidR="009D550D">
              <w:rPr>
                <w:color w:val="000000"/>
                <w:sz w:val="20"/>
                <w:szCs w:val="20"/>
              </w:rPr>
              <w:t>75</w:t>
            </w:r>
          </w:p>
        </w:tc>
        <w:tc>
          <w:tcPr>
            <w:tcW w:w="1391" w:type="dxa"/>
            <w:tcBorders>
              <w:top w:val="nil"/>
              <w:left w:val="nil"/>
              <w:bottom w:val="single" w:sz="4" w:space="0" w:color="auto"/>
              <w:right w:val="single" w:sz="4" w:space="0" w:color="auto"/>
            </w:tcBorders>
            <w:shd w:val="clear" w:color="auto" w:fill="auto"/>
            <w:noWrap/>
            <w:vAlign w:val="center"/>
            <w:hideMark/>
          </w:tcPr>
          <w:p w14:paraId="0F9E72A9" w14:textId="4E9CF4F6" w:rsidR="00C07FA7" w:rsidRPr="00C74D45" w:rsidRDefault="00C07FA7">
            <w:pPr>
              <w:jc w:val="center"/>
              <w:rPr>
                <w:color w:val="000000"/>
                <w:sz w:val="20"/>
                <w:szCs w:val="20"/>
              </w:rPr>
            </w:pPr>
            <w:r w:rsidRPr="00C74D45">
              <w:rPr>
                <w:color w:val="000000"/>
                <w:sz w:val="20"/>
                <w:szCs w:val="20"/>
              </w:rPr>
              <w:t>$4.</w:t>
            </w:r>
            <w:r w:rsidR="009D550D">
              <w:rPr>
                <w:color w:val="000000"/>
                <w:sz w:val="20"/>
                <w:szCs w:val="20"/>
              </w:rPr>
              <w:t>6</w:t>
            </w:r>
            <w:r w:rsidR="00E119EC">
              <w:rPr>
                <w:color w:val="000000"/>
                <w:sz w:val="20"/>
                <w:szCs w:val="20"/>
              </w:rPr>
              <w:t>5</w:t>
            </w:r>
          </w:p>
        </w:tc>
      </w:tr>
    </w:tbl>
    <w:p w14:paraId="3CB5762B" w14:textId="77777777" w:rsidR="005262B6" w:rsidRDefault="005262B6" w:rsidP="00183AB2">
      <w:pPr>
        <w:rPr>
          <w:rFonts w:ascii="Arial" w:hAnsi="Arial" w:cs="Arial"/>
          <w:i/>
          <w:sz w:val="20"/>
          <w:szCs w:val="20"/>
        </w:rPr>
      </w:pPr>
    </w:p>
    <w:p w14:paraId="188314EF" w14:textId="1537C140" w:rsidR="005262B6" w:rsidRPr="00E41995" w:rsidRDefault="005262B6" w:rsidP="005262B6">
      <w:r w:rsidRPr="00E41995">
        <w:t xml:space="preserve">Please refer to Attachment #2 for </w:t>
      </w:r>
      <w:r w:rsidR="001C761D">
        <w:t>belt cost calculation</w:t>
      </w:r>
      <w:r w:rsidRPr="00E41995">
        <w:t>.</w:t>
      </w:r>
    </w:p>
    <w:p w14:paraId="03EED815" w14:textId="77777777" w:rsidR="005A0E53" w:rsidRPr="00397406" w:rsidRDefault="005A0E53" w:rsidP="005A0E53">
      <w:pPr>
        <w:pStyle w:val="Heading2"/>
        <w:rPr>
          <w:rFonts w:asciiTheme="minorHAnsi" w:hAnsiTheme="minorHAnsi" w:cstheme="minorHAnsi"/>
        </w:rPr>
      </w:pPr>
      <w:r w:rsidRPr="00397406">
        <w:rPr>
          <w:rFonts w:asciiTheme="minorHAnsi" w:hAnsiTheme="minorHAnsi" w:cstheme="minorHAnsi"/>
        </w:rPr>
        <w:t>4.2 Measure Case Cost</w:t>
      </w:r>
    </w:p>
    <w:p w14:paraId="3C6417BF" w14:textId="24846EE0" w:rsidR="00C07FA7" w:rsidRDefault="00C07FA7" w:rsidP="00C07FA7">
      <w:r>
        <w:t xml:space="preserve">Methodology outlined below is followed to calculate </w:t>
      </w:r>
      <w:r w:rsidR="00B06DE4">
        <w:t>measure case</w:t>
      </w:r>
      <w:r>
        <w:t xml:space="preserve"> cost:</w:t>
      </w:r>
    </w:p>
    <w:p w14:paraId="77EBEF71" w14:textId="77777777" w:rsidR="00C07FA7" w:rsidRDefault="00C07FA7" w:rsidP="00907879"/>
    <w:p w14:paraId="314DB956" w14:textId="079E51A2" w:rsidR="00C07FA7" w:rsidRDefault="00052027" w:rsidP="00C74D45">
      <w:pPr>
        <w:pStyle w:val="ListParagraph"/>
        <w:numPr>
          <w:ilvl w:val="0"/>
          <w:numId w:val="23"/>
        </w:numPr>
      </w:pPr>
      <w:r>
        <w:t>2018 c</w:t>
      </w:r>
      <w:r w:rsidR="00C07FA7">
        <w:t>osts of cogged V-Belt of types A and B for sizes 20”, 40”, 60”, and 80” were taken from the online cost database Grainger.com.</w:t>
      </w:r>
    </w:p>
    <w:p w14:paraId="0DCBF8AE" w14:textId="77777777" w:rsidR="00C07FA7" w:rsidRDefault="00C07FA7" w:rsidP="00C74D45">
      <w:pPr>
        <w:pStyle w:val="ListParagraph"/>
        <w:ind w:left="360"/>
      </w:pPr>
    </w:p>
    <w:p w14:paraId="650FD5EB" w14:textId="5FAE678D" w:rsidR="00C07FA7" w:rsidRDefault="00C07FA7" w:rsidP="00C74D45">
      <w:pPr>
        <w:pStyle w:val="ListParagraph"/>
        <w:numPr>
          <w:ilvl w:val="0"/>
          <w:numId w:val="23"/>
        </w:numPr>
      </w:pPr>
      <w:r>
        <w:t>Average cost per inch of cogged belt was calculated from the above step.</w:t>
      </w:r>
    </w:p>
    <w:p w14:paraId="2B8E86BE" w14:textId="77777777" w:rsidR="00C07FA7" w:rsidRDefault="00C07FA7" w:rsidP="00C74D45">
      <w:pPr>
        <w:pStyle w:val="ListParagraph"/>
        <w:ind w:left="360"/>
      </w:pPr>
    </w:p>
    <w:p w14:paraId="15D3EFDB" w14:textId="40C772CD" w:rsidR="00C07FA7" w:rsidRDefault="00052027" w:rsidP="00C74D45">
      <w:pPr>
        <w:pStyle w:val="ListParagraph"/>
        <w:numPr>
          <w:ilvl w:val="0"/>
          <w:numId w:val="23"/>
        </w:numPr>
      </w:pPr>
      <w:r>
        <w:t>Given program participation data for 2010 – 2017, p</w:t>
      </w:r>
      <w:r w:rsidR="00C07FA7">
        <w:t xml:space="preserve">ackage units of sizes </w:t>
      </w:r>
      <w:r w:rsidR="002141BA">
        <w:t>7.5 tons</w:t>
      </w:r>
      <w:r w:rsidR="00C07FA7">
        <w:t xml:space="preserve"> </w:t>
      </w:r>
      <w:r w:rsidR="002141BA">
        <w:t>and</w:t>
      </w:r>
      <w:r w:rsidR="00C07FA7">
        <w:t xml:space="preserve"> </w:t>
      </w:r>
      <w:r w:rsidR="002141BA">
        <w:t>1</w:t>
      </w:r>
      <w:r w:rsidR="00C07FA7">
        <w:t>0</w:t>
      </w:r>
      <w:r w:rsidR="002141BA">
        <w:t xml:space="preserve"> tons</w:t>
      </w:r>
      <w:r w:rsidR="00C07FA7">
        <w:t xml:space="preserve"> with various belt lengths and counts were considered and cost per belt was estimated for each unit.</w:t>
      </w:r>
      <w:r w:rsidR="003500DA">
        <w:t xml:space="preserve"> The unit capacities were based on SCE provided mean and standard deviation estimates of systems capacities per program participation.</w:t>
      </w:r>
    </w:p>
    <w:p w14:paraId="7EA56D4F" w14:textId="77777777" w:rsidR="00C07FA7" w:rsidRDefault="00C07FA7" w:rsidP="00C74D45">
      <w:pPr>
        <w:pStyle w:val="ListParagraph"/>
        <w:ind w:left="360"/>
      </w:pPr>
    </w:p>
    <w:p w14:paraId="2B5F7E37" w14:textId="4A9A8174" w:rsidR="00C07FA7" w:rsidRDefault="00C07FA7" w:rsidP="00C74D45">
      <w:pPr>
        <w:pStyle w:val="ListParagraph"/>
        <w:numPr>
          <w:ilvl w:val="0"/>
          <w:numId w:val="23"/>
        </w:numPr>
      </w:pPr>
      <w:r>
        <w:t>From the above</w:t>
      </w:r>
      <w:r w:rsidR="001C761D">
        <w:t xml:space="preserve"> step, </w:t>
      </w:r>
      <w:r w:rsidR="00626BB9">
        <w:t xml:space="preserve">material </w:t>
      </w:r>
      <w:r w:rsidR="001C761D">
        <w:t xml:space="preserve">cost of </w:t>
      </w:r>
      <w:r w:rsidR="005262B6">
        <w:t>cogged V-B</w:t>
      </w:r>
      <w:r>
        <w:t>elt per ton was then calculated</w:t>
      </w:r>
      <w:r w:rsidR="002141BA" w:rsidRPr="002141BA">
        <w:t xml:space="preserve"> </w:t>
      </w:r>
      <w:r w:rsidR="002141BA">
        <w:t>by dividing cost per belt by system tonnage</w:t>
      </w:r>
      <w:r>
        <w:t xml:space="preserve">. </w:t>
      </w:r>
    </w:p>
    <w:p w14:paraId="0979CA0B" w14:textId="77777777" w:rsidR="00C07FA7" w:rsidRDefault="00C07FA7" w:rsidP="00C74D45">
      <w:pPr>
        <w:pStyle w:val="ListParagraph"/>
        <w:ind w:left="360"/>
      </w:pPr>
    </w:p>
    <w:p w14:paraId="2048B51B" w14:textId="44F3A981" w:rsidR="00C07FA7" w:rsidRDefault="008B4004" w:rsidP="00C74D45">
      <w:pPr>
        <w:pStyle w:val="ListParagraph"/>
        <w:numPr>
          <w:ilvl w:val="0"/>
          <w:numId w:val="23"/>
        </w:numPr>
      </w:pPr>
      <w:r>
        <w:t xml:space="preserve">Labor cost per hour of $70.69 for HVAC Package unit was taken from 2010-2012 WO017 Cost Study Report [475] from </w:t>
      </w:r>
      <w:r w:rsidRPr="00F50888">
        <w:rPr>
          <w:i/>
        </w:rPr>
        <w:t>Table 4-3: Installation Cost Estimates for Split-System and Packaged DX and HP</w:t>
      </w:r>
      <w:r>
        <w:rPr>
          <w:i/>
        </w:rPr>
        <w:t xml:space="preserve"> </w:t>
      </w:r>
      <w:r>
        <w:t>for Small and Large Package Unit DX systems. It was assumed that it would take around 20 minutes to replace the belt. Cost per belt was estimated based on this assumption at $23.56 per belt.</w:t>
      </w:r>
    </w:p>
    <w:p w14:paraId="20588DA0" w14:textId="77777777" w:rsidR="00C07FA7" w:rsidRDefault="00C07FA7" w:rsidP="00C74D45">
      <w:pPr>
        <w:pStyle w:val="ListParagraph"/>
        <w:ind w:left="360"/>
      </w:pPr>
    </w:p>
    <w:p w14:paraId="003DEB2D" w14:textId="71ABFC61" w:rsidR="00C07FA7" w:rsidRDefault="00C07FA7" w:rsidP="00C74D45">
      <w:pPr>
        <w:pStyle w:val="ListParagraph"/>
        <w:numPr>
          <w:ilvl w:val="0"/>
          <w:numId w:val="23"/>
        </w:numPr>
      </w:pPr>
      <w:r>
        <w:t xml:space="preserve">Labor cost per ton was </w:t>
      </w:r>
      <w:r w:rsidR="00E62A2A">
        <w:t>calculated by dividing cost per belt calculated in step 5 by unit size in tons</w:t>
      </w:r>
      <w:r>
        <w:t>.</w:t>
      </w:r>
    </w:p>
    <w:p w14:paraId="6273CBBA" w14:textId="77777777" w:rsidR="00C07FA7" w:rsidRDefault="00C07FA7" w:rsidP="00C74D45">
      <w:pPr>
        <w:pStyle w:val="ListParagraph"/>
        <w:ind w:left="360"/>
      </w:pPr>
    </w:p>
    <w:p w14:paraId="0F5B8920" w14:textId="47F19235" w:rsidR="00C07FA7" w:rsidRDefault="005262B6" w:rsidP="00C74D45">
      <w:pPr>
        <w:pStyle w:val="ListParagraph"/>
        <w:numPr>
          <w:ilvl w:val="0"/>
          <w:numId w:val="23"/>
        </w:numPr>
      </w:pPr>
      <w:r>
        <w:lastRenderedPageBreak/>
        <w:t xml:space="preserve">Measure </w:t>
      </w:r>
      <w:r w:rsidR="00C07FA7">
        <w:t>case cost was calculated by adding material and labor costs from the above steps.</w:t>
      </w:r>
    </w:p>
    <w:p w14:paraId="15AB893A" w14:textId="77777777" w:rsidR="005262B6" w:rsidRDefault="005262B6" w:rsidP="00907879"/>
    <w:p w14:paraId="70BC3E86" w14:textId="7430E3D9" w:rsidR="005262B6" w:rsidRDefault="005262B6" w:rsidP="005262B6">
      <w:r>
        <w:t>Below table shows the cogged V-Belt costs:</w:t>
      </w:r>
    </w:p>
    <w:p w14:paraId="7FAEAA23" w14:textId="77777777" w:rsidR="005262B6" w:rsidRPr="00993BD6" w:rsidRDefault="005262B6" w:rsidP="005262B6"/>
    <w:tbl>
      <w:tblPr>
        <w:tblW w:w="3615" w:type="dxa"/>
        <w:jc w:val="center"/>
        <w:tblLayout w:type="fixed"/>
        <w:tblLook w:val="04A0" w:firstRow="1" w:lastRow="0" w:firstColumn="1" w:lastColumn="0" w:noHBand="0" w:noVBand="1"/>
      </w:tblPr>
      <w:tblGrid>
        <w:gridCol w:w="1165"/>
        <w:gridCol w:w="1059"/>
        <w:gridCol w:w="1391"/>
      </w:tblGrid>
      <w:tr w:rsidR="005262B6" w:rsidRPr="00E41995" w14:paraId="2FBB4858" w14:textId="77777777" w:rsidTr="00C74D45">
        <w:trPr>
          <w:trHeight w:val="480"/>
          <w:jc w:val="center"/>
        </w:trPr>
        <w:tc>
          <w:tcPr>
            <w:tcW w:w="3615"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AC2015D" w14:textId="0333832D" w:rsidR="005262B6" w:rsidRPr="00E41995" w:rsidRDefault="005262B6" w:rsidP="00000ED1">
            <w:pPr>
              <w:jc w:val="center"/>
              <w:rPr>
                <w:b/>
                <w:bCs/>
                <w:color w:val="000000"/>
                <w:sz w:val="20"/>
                <w:szCs w:val="20"/>
              </w:rPr>
            </w:pPr>
            <w:r>
              <w:rPr>
                <w:b/>
                <w:bCs/>
                <w:color w:val="000000"/>
                <w:sz w:val="20"/>
                <w:szCs w:val="20"/>
              </w:rPr>
              <w:t>Cogged</w:t>
            </w:r>
            <w:r w:rsidRPr="00E41995">
              <w:rPr>
                <w:b/>
                <w:bCs/>
                <w:color w:val="000000"/>
                <w:sz w:val="20"/>
                <w:szCs w:val="20"/>
              </w:rPr>
              <w:t xml:space="preserve"> V-Belt Cost</w:t>
            </w:r>
          </w:p>
        </w:tc>
      </w:tr>
      <w:tr w:rsidR="005262B6" w:rsidRPr="00E41995" w14:paraId="2F63CB5F" w14:textId="77777777" w:rsidTr="00C74D45">
        <w:trPr>
          <w:trHeight w:val="674"/>
          <w:jc w:val="center"/>
        </w:trPr>
        <w:tc>
          <w:tcPr>
            <w:tcW w:w="1165" w:type="dxa"/>
            <w:tcBorders>
              <w:top w:val="nil"/>
              <w:left w:val="single" w:sz="4" w:space="0" w:color="auto"/>
              <w:bottom w:val="single" w:sz="4" w:space="0" w:color="auto"/>
              <w:right w:val="single" w:sz="4" w:space="0" w:color="auto"/>
            </w:tcBorders>
            <w:shd w:val="clear" w:color="000000" w:fill="D9D9D9"/>
            <w:vAlign w:val="center"/>
            <w:hideMark/>
          </w:tcPr>
          <w:p w14:paraId="3ED31F9A" w14:textId="77777777" w:rsidR="005262B6" w:rsidRPr="00E41995" w:rsidRDefault="005262B6" w:rsidP="00000ED1">
            <w:pPr>
              <w:jc w:val="center"/>
              <w:rPr>
                <w:b/>
                <w:bCs/>
                <w:color w:val="000000"/>
                <w:sz w:val="20"/>
                <w:szCs w:val="20"/>
              </w:rPr>
            </w:pPr>
            <w:r w:rsidRPr="00E41995">
              <w:rPr>
                <w:b/>
                <w:bCs/>
                <w:color w:val="000000"/>
                <w:sz w:val="20"/>
                <w:szCs w:val="20"/>
              </w:rPr>
              <w:t>Material Cost</w:t>
            </w:r>
            <w:r w:rsidRPr="00E41995">
              <w:rPr>
                <w:b/>
                <w:bCs/>
                <w:color w:val="000000"/>
                <w:sz w:val="20"/>
                <w:szCs w:val="20"/>
              </w:rPr>
              <w:br/>
              <w:t>($/Ton)</w:t>
            </w:r>
          </w:p>
        </w:tc>
        <w:tc>
          <w:tcPr>
            <w:tcW w:w="1059" w:type="dxa"/>
            <w:tcBorders>
              <w:top w:val="nil"/>
              <w:left w:val="nil"/>
              <w:bottom w:val="single" w:sz="4" w:space="0" w:color="auto"/>
              <w:right w:val="single" w:sz="4" w:space="0" w:color="auto"/>
            </w:tcBorders>
            <w:shd w:val="clear" w:color="000000" w:fill="D9D9D9"/>
            <w:vAlign w:val="center"/>
            <w:hideMark/>
          </w:tcPr>
          <w:p w14:paraId="4470234C" w14:textId="77777777" w:rsidR="005262B6" w:rsidRPr="00E41995" w:rsidRDefault="005262B6" w:rsidP="00000ED1">
            <w:pPr>
              <w:jc w:val="center"/>
              <w:rPr>
                <w:b/>
                <w:bCs/>
                <w:color w:val="000000"/>
                <w:sz w:val="20"/>
                <w:szCs w:val="20"/>
              </w:rPr>
            </w:pPr>
            <w:r w:rsidRPr="00E41995">
              <w:rPr>
                <w:b/>
                <w:bCs/>
                <w:color w:val="000000"/>
                <w:sz w:val="20"/>
                <w:szCs w:val="20"/>
              </w:rPr>
              <w:t>Labor Cost</w:t>
            </w:r>
            <w:r w:rsidRPr="00E41995">
              <w:rPr>
                <w:b/>
                <w:bCs/>
                <w:color w:val="000000"/>
                <w:sz w:val="20"/>
                <w:szCs w:val="20"/>
              </w:rPr>
              <w:br/>
              <w:t>($/Ton)</w:t>
            </w:r>
          </w:p>
        </w:tc>
        <w:tc>
          <w:tcPr>
            <w:tcW w:w="1391" w:type="dxa"/>
            <w:tcBorders>
              <w:top w:val="nil"/>
              <w:left w:val="nil"/>
              <w:bottom w:val="single" w:sz="4" w:space="0" w:color="auto"/>
              <w:right w:val="single" w:sz="4" w:space="0" w:color="auto"/>
            </w:tcBorders>
            <w:shd w:val="clear" w:color="000000" w:fill="D9D9D9"/>
            <w:vAlign w:val="center"/>
            <w:hideMark/>
          </w:tcPr>
          <w:p w14:paraId="1D06F7F9" w14:textId="77777777" w:rsidR="005262B6" w:rsidRPr="00E41995" w:rsidRDefault="005262B6" w:rsidP="00000ED1">
            <w:pPr>
              <w:jc w:val="center"/>
              <w:rPr>
                <w:b/>
                <w:bCs/>
                <w:color w:val="000000"/>
                <w:sz w:val="20"/>
                <w:szCs w:val="20"/>
              </w:rPr>
            </w:pPr>
            <w:r w:rsidRPr="00E41995">
              <w:rPr>
                <w:b/>
                <w:bCs/>
                <w:color w:val="000000"/>
                <w:sz w:val="20"/>
                <w:szCs w:val="20"/>
              </w:rPr>
              <w:t>Base Case Cost</w:t>
            </w:r>
            <w:r w:rsidRPr="00E41995">
              <w:rPr>
                <w:b/>
                <w:bCs/>
                <w:color w:val="000000"/>
                <w:sz w:val="20"/>
                <w:szCs w:val="20"/>
              </w:rPr>
              <w:br/>
              <w:t>($/Ton)</w:t>
            </w:r>
          </w:p>
        </w:tc>
      </w:tr>
      <w:tr w:rsidR="005262B6" w:rsidRPr="00E41995" w14:paraId="7C410012" w14:textId="77777777" w:rsidTr="00C74D45">
        <w:trPr>
          <w:trHeight w:val="465"/>
          <w:jc w:val="center"/>
        </w:trPr>
        <w:tc>
          <w:tcPr>
            <w:tcW w:w="1165" w:type="dxa"/>
            <w:tcBorders>
              <w:top w:val="nil"/>
              <w:left w:val="single" w:sz="4" w:space="0" w:color="auto"/>
              <w:bottom w:val="single" w:sz="4" w:space="0" w:color="auto"/>
              <w:right w:val="single" w:sz="4" w:space="0" w:color="auto"/>
            </w:tcBorders>
            <w:shd w:val="clear" w:color="auto" w:fill="auto"/>
            <w:noWrap/>
            <w:vAlign w:val="center"/>
            <w:hideMark/>
          </w:tcPr>
          <w:p w14:paraId="227DD308" w14:textId="053774B4" w:rsidR="005262B6" w:rsidRPr="00E41995" w:rsidRDefault="005262B6">
            <w:pPr>
              <w:jc w:val="center"/>
              <w:rPr>
                <w:color w:val="000000"/>
                <w:sz w:val="20"/>
                <w:szCs w:val="20"/>
              </w:rPr>
            </w:pPr>
            <w:r w:rsidRPr="00E41995">
              <w:rPr>
                <w:color w:val="000000"/>
                <w:sz w:val="20"/>
                <w:szCs w:val="20"/>
              </w:rPr>
              <w:t>$</w:t>
            </w:r>
            <w:r>
              <w:rPr>
                <w:color w:val="000000"/>
                <w:sz w:val="20"/>
                <w:szCs w:val="20"/>
              </w:rPr>
              <w:t>2.</w:t>
            </w:r>
            <w:r w:rsidR="00714D4D">
              <w:rPr>
                <w:color w:val="000000"/>
                <w:sz w:val="20"/>
                <w:szCs w:val="20"/>
              </w:rPr>
              <w:t>3</w:t>
            </w:r>
            <w:r w:rsidR="009D550D">
              <w:rPr>
                <w:color w:val="000000"/>
                <w:sz w:val="20"/>
                <w:szCs w:val="20"/>
              </w:rPr>
              <w:t>6</w:t>
            </w:r>
          </w:p>
        </w:tc>
        <w:tc>
          <w:tcPr>
            <w:tcW w:w="1059" w:type="dxa"/>
            <w:tcBorders>
              <w:top w:val="nil"/>
              <w:left w:val="nil"/>
              <w:bottom w:val="single" w:sz="4" w:space="0" w:color="auto"/>
              <w:right w:val="single" w:sz="4" w:space="0" w:color="auto"/>
            </w:tcBorders>
            <w:shd w:val="clear" w:color="auto" w:fill="auto"/>
            <w:noWrap/>
            <w:vAlign w:val="center"/>
            <w:hideMark/>
          </w:tcPr>
          <w:p w14:paraId="50159360" w14:textId="0A3D395D" w:rsidR="005262B6" w:rsidRPr="00E41995" w:rsidRDefault="005262B6">
            <w:pPr>
              <w:jc w:val="center"/>
              <w:rPr>
                <w:color w:val="000000"/>
                <w:sz w:val="20"/>
                <w:szCs w:val="20"/>
              </w:rPr>
            </w:pPr>
            <w:r w:rsidRPr="00E41995">
              <w:rPr>
                <w:color w:val="000000"/>
                <w:sz w:val="20"/>
                <w:szCs w:val="20"/>
              </w:rPr>
              <w:t>$</w:t>
            </w:r>
            <w:r>
              <w:rPr>
                <w:color w:val="000000"/>
                <w:sz w:val="20"/>
                <w:szCs w:val="20"/>
              </w:rPr>
              <w:t>2.</w:t>
            </w:r>
            <w:r w:rsidR="009D550D">
              <w:rPr>
                <w:color w:val="000000"/>
                <w:sz w:val="20"/>
                <w:szCs w:val="20"/>
              </w:rPr>
              <w:t>75</w:t>
            </w:r>
          </w:p>
        </w:tc>
        <w:tc>
          <w:tcPr>
            <w:tcW w:w="1391" w:type="dxa"/>
            <w:tcBorders>
              <w:top w:val="nil"/>
              <w:left w:val="nil"/>
              <w:bottom w:val="single" w:sz="4" w:space="0" w:color="auto"/>
              <w:right w:val="single" w:sz="4" w:space="0" w:color="auto"/>
            </w:tcBorders>
            <w:shd w:val="clear" w:color="auto" w:fill="auto"/>
            <w:noWrap/>
            <w:vAlign w:val="center"/>
            <w:hideMark/>
          </w:tcPr>
          <w:p w14:paraId="66C3AFED" w14:textId="783C46A8" w:rsidR="005262B6" w:rsidRPr="00E41995" w:rsidRDefault="005262B6">
            <w:pPr>
              <w:jc w:val="center"/>
              <w:rPr>
                <w:color w:val="000000"/>
                <w:sz w:val="20"/>
                <w:szCs w:val="20"/>
              </w:rPr>
            </w:pPr>
            <w:r w:rsidRPr="00E41995">
              <w:rPr>
                <w:color w:val="000000"/>
                <w:sz w:val="20"/>
                <w:szCs w:val="20"/>
              </w:rPr>
              <w:t>$</w:t>
            </w:r>
            <w:r w:rsidR="009976EE">
              <w:rPr>
                <w:color w:val="000000"/>
                <w:sz w:val="20"/>
                <w:szCs w:val="20"/>
              </w:rPr>
              <w:t>1.90</w:t>
            </w:r>
          </w:p>
        </w:tc>
      </w:tr>
    </w:tbl>
    <w:p w14:paraId="620C2537" w14:textId="77777777" w:rsidR="00907879" w:rsidRDefault="00907879" w:rsidP="00907879">
      <w:pPr>
        <w:rPr>
          <w:i/>
        </w:rPr>
      </w:pPr>
    </w:p>
    <w:p w14:paraId="496CE4E4" w14:textId="66D80E96" w:rsidR="005262B6" w:rsidRPr="00C74D45" w:rsidRDefault="005262B6" w:rsidP="00907879">
      <w:r w:rsidRPr="00C74D45">
        <w:t xml:space="preserve">Please refer to Attachment #2 for </w:t>
      </w:r>
      <w:r w:rsidR="001C761D">
        <w:t>belt cost calculation</w:t>
      </w:r>
      <w:r w:rsidRPr="00C74D45">
        <w:t>.</w:t>
      </w:r>
    </w:p>
    <w:p w14:paraId="6BD9B638" w14:textId="206B40FF" w:rsidR="00E16609" w:rsidRDefault="005A0E53" w:rsidP="00E16609">
      <w:pPr>
        <w:pStyle w:val="Heading2"/>
        <w:keepNext w:val="0"/>
        <w:rPr>
          <w:rFonts w:asciiTheme="minorHAnsi" w:hAnsiTheme="minorHAnsi" w:cstheme="minorHAnsi"/>
        </w:rPr>
      </w:pPr>
      <w:r w:rsidRPr="00397406">
        <w:rPr>
          <w:rFonts w:asciiTheme="minorHAnsi" w:hAnsiTheme="minorHAnsi" w:cstheme="minorHAnsi"/>
        </w:rPr>
        <w:t>4.3</w:t>
      </w:r>
      <w:r w:rsidR="00E16609" w:rsidRPr="00397406">
        <w:rPr>
          <w:rFonts w:asciiTheme="minorHAnsi" w:hAnsiTheme="minorHAnsi" w:cstheme="minorHAnsi"/>
        </w:rPr>
        <w:t xml:space="preserve"> </w:t>
      </w:r>
      <w:r w:rsidR="005262B6">
        <w:rPr>
          <w:rFonts w:asciiTheme="minorHAnsi" w:hAnsiTheme="minorHAnsi" w:cstheme="minorHAnsi"/>
        </w:rPr>
        <w:t>Full</w:t>
      </w:r>
      <w:r w:rsidR="005262B6" w:rsidRPr="00397406">
        <w:rPr>
          <w:rFonts w:asciiTheme="minorHAnsi" w:hAnsiTheme="minorHAnsi" w:cstheme="minorHAnsi"/>
        </w:rPr>
        <w:t xml:space="preserve"> </w:t>
      </w:r>
      <w:r w:rsidRPr="00397406">
        <w:rPr>
          <w:rFonts w:asciiTheme="minorHAnsi" w:hAnsiTheme="minorHAnsi" w:cstheme="minorHAnsi"/>
        </w:rPr>
        <w:t>and Incremental</w:t>
      </w:r>
      <w:r w:rsidR="00E16609" w:rsidRPr="00397406">
        <w:rPr>
          <w:rFonts w:asciiTheme="minorHAnsi" w:hAnsiTheme="minorHAnsi" w:cstheme="minorHAnsi"/>
        </w:rPr>
        <w:t xml:space="preserve"> Measure Cost</w:t>
      </w:r>
      <w:bookmarkEnd w:id="26"/>
    </w:p>
    <w:p w14:paraId="5DB0CBB7" w14:textId="0EF1CAED" w:rsidR="00D67A65" w:rsidRPr="00920905" w:rsidRDefault="00D67A65" w:rsidP="00D67A65">
      <w:bookmarkStart w:id="27" w:name="_Toc214003099"/>
      <w:r>
        <w:rPr>
          <w:b/>
        </w:rPr>
        <w:t xml:space="preserve">Full and </w:t>
      </w:r>
      <w:r w:rsidRPr="00920905">
        <w:rPr>
          <w:b/>
        </w:rPr>
        <w:t xml:space="preserve">Incremental </w:t>
      </w:r>
      <w:r>
        <w:rPr>
          <w:b/>
        </w:rPr>
        <w:t>Measure</w:t>
      </w:r>
      <w:r w:rsidRPr="00920905">
        <w:rPr>
          <w:b/>
        </w:rPr>
        <w:t xml:space="preserve"> Cost </w:t>
      </w:r>
      <w:r>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D67A65" w:rsidRPr="00500C4E" w14:paraId="45052DFC" w14:textId="77777777" w:rsidTr="00000ED1">
        <w:tc>
          <w:tcPr>
            <w:tcW w:w="672" w:type="pct"/>
            <w:vMerge w:val="restart"/>
            <w:shd w:val="clear" w:color="auto" w:fill="D9D9D9" w:themeFill="background1" w:themeFillShade="D9"/>
          </w:tcPr>
          <w:p w14:paraId="5B7BC894" w14:textId="77777777" w:rsidR="00D67A65" w:rsidRPr="00DE77D0" w:rsidRDefault="00D67A65" w:rsidP="00000ED1">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6CABC58" w14:textId="77777777" w:rsidR="00D67A65" w:rsidRPr="00DE77D0" w:rsidRDefault="00D67A65" w:rsidP="00000ED1">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1AA848FF" w14:textId="77777777" w:rsidR="00D67A65" w:rsidRPr="00DE77D0" w:rsidRDefault="00D67A65" w:rsidP="00000ED1">
            <w:pPr>
              <w:rPr>
                <w:rFonts w:cstheme="minorHAnsi"/>
                <w:b/>
                <w:szCs w:val="20"/>
                <w:highlight w:val="yellow"/>
              </w:rPr>
            </w:pPr>
            <w:r>
              <w:rPr>
                <w:rFonts w:cstheme="minorHAnsi"/>
                <w:b/>
                <w:szCs w:val="20"/>
              </w:rPr>
              <w:t>Full Measure Cost</w:t>
            </w:r>
          </w:p>
        </w:tc>
      </w:tr>
      <w:tr w:rsidR="00D67A65" w:rsidRPr="00500C4E" w14:paraId="4BF0A8F0" w14:textId="77777777" w:rsidTr="00000ED1">
        <w:tc>
          <w:tcPr>
            <w:tcW w:w="672" w:type="pct"/>
            <w:vMerge/>
            <w:shd w:val="clear" w:color="auto" w:fill="D9D9D9" w:themeFill="background1" w:themeFillShade="D9"/>
          </w:tcPr>
          <w:p w14:paraId="72C20418" w14:textId="77777777" w:rsidR="00D67A65" w:rsidRPr="00DE77D0" w:rsidRDefault="00D67A65" w:rsidP="00000ED1">
            <w:pPr>
              <w:rPr>
                <w:rFonts w:cstheme="minorHAnsi"/>
                <w:b/>
                <w:szCs w:val="20"/>
              </w:rPr>
            </w:pPr>
          </w:p>
        </w:tc>
        <w:tc>
          <w:tcPr>
            <w:tcW w:w="1443" w:type="pct"/>
            <w:vMerge/>
            <w:shd w:val="clear" w:color="auto" w:fill="D9D9D9" w:themeFill="background1" w:themeFillShade="D9"/>
          </w:tcPr>
          <w:p w14:paraId="18240DF9" w14:textId="77777777" w:rsidR="00D67A65" w:rsidRPr="00DE77D0" w:rsidRDefault="00D67A65" w:rsidP="00000ED1">
            <w:pPr>
              <w:rPr>
                <w:rFonts w:cstheme="minorHAnsi"/>
                <w:b/>
                <w:szCs w:val="20"/>
              </w:rPr>
            </w:pPr>
          </w:p>
        </w:tc>
        <w:tc>
          <w:tcPr>
            <w:tcW w:w="1396" w:type="pct"/>
            <w:shd w:val="clear" w:color="auto" w:fill="F2F2F2" w:themeFill="background1" w:themeFillShade="F2"/>
          </w:tcPr>
          <w:p w14:paraId="3A38C9AC" w14:textId="77777777" w:rsidR="00D67A65" w:rsidRPr="00DE77D0" w:rsidRDefault="00D67A65" w:rsidP="00000ED1">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2F9D9883" w14:textId="77777777" w:rsidR="00D67A65" w:rsidRPr="00DE77D0" w:rsidRDefault="00D67A65" w:rsidP="00000ED1">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D67A65" w:rsidRPr="00500C4E" w14:paraId="37E9A018" w14:textId="77777777" w:rsidTr="00000ED1">
        <w:tc>
          <w:tcPr>
            <w:tcW w:w="672" w:type="pct"/>
          </w:tcPr>
          <w:p w14:paraId="38EAD85D" w14:textId="1608D5C7" w:rsidR="00D67A65" w:rsidRDefault="005262B6" w:rsidP="00000ED1">
            <w:pPr>
              <w:rPr>
                <w:rFonts w:cstheme="minorHAnsi"/>
                <w:szCs w:val="20"/>
              </w:rPr>
            </w:pPr>
            <w:r>
              <w:rPr>
                <w:rFonts w:cstheme="minorHAnsi"/>
                <w:szCs w:val="20"/>
              </w:rPr>
              <w:t>ROB</w:t>
            </w:r>
          </w:p>
        </w:tc>
        <w:tc>
          <w:tcPr>
            <w:tcW w:w="1443" w:type="pct"/>
          </w:tcPr>
          <w:p w14:paraId="247B4632" w14:textId="77777777" w:rsidR="00D67A65" w:rsidRDefault="00D67A65" w:rsidP="00000ED1">
            <w:pPr>
              <w:rPr>
                <w:rFonts w:cstheme="minorHAnsi"/>
                <w:szCs w:val="20"/>
              </w:rPr>
            </w:pPr>
            <w:r>
              <w:rPr>
                <w:rFonts w:cstheme="minorHAnsi"/>
                <w:szCs w:val="20"/>
              </w:rPr>
              <w:t>(MEC + MLC) – (BEC + BLC)</w:t>
            </w:r>
          </w:p>
        </w:tc>
        <w:tc>
          <w:tcPr>
            <w:tcW w:w="1396" w:type="pct"/>
          </w:tcPr>
          <w:p w14:paraId="2840C0E9" w14:textId="77777777" w:rsidR="00D67A65" w:rsidRDefault="00D67A65" w:rsidP="00000ED1">
            <w:pPr>
              <w:rPr>
                <w:rFonts w:cstheme="minorHAnsi"/>
                <w:szCs w:val="20"/>
              </w:rPr>
            </w:pPr>
            <w:r>
              <w:rPr>
                <w:rFonts w:cstheme="minorHAnsi"/>
                <w:szCs w:val="20"/>
              </w:rPr>
              <w:t>(MEC + MLC) – (BEC + BLC)</w:t>
            </w:r>
          </w:p>
        </w:tc>
        <w:tc>
          <w:tcPr>
            <w:tcW w:w="1489" w:type="pct"/>
          </w:tcPr>
          <w:p w14:paraId="57356ED4" w14:textId="77777777" w:rsidR="00D67A65" w:rsidRDefault="00D67A65" w:rsidP="00000ED1">
            <w:pPr>
              <w:rPr>
                <w:rFonts w:cstheme="minorHAnsi"/>
                <w:szCs w:val="20"/>
              </w:rPr>
            </w:pPr>
            <w:r>
              <w:rPr>
                <w:rFonts w:cstheme="minorHAnsi"/>
                <w:szCs w:val="20"/>
              </w:rPr>
              <w:t>N/A</w:t>
            </w:r>
          </w:p>
        </w:tc>
      </w:tr>
    </w:tbl>
    <w:p w14:paraId="18AF93D6" w14:textId="77777777" w:rsidR="00D67A65" w:rsidRPr="00920905" w:rsidRDefault="00D67A65" w:rsidP="00D67A65">
      <w:pPr>
        <w:rPr>
          <w:sz w:val="20"/>
          <w:szCs w:val="20"/>
        </w:rPr>
      </w:pPr>
      <w:r w:rsidRPr="00920905">
        <w:rPr>
          <w:sz w:val="20"/>
          <w:szCs w:val="20"/>
        </w:rPr>
        <w:t>MEC = Measure Equipment Cost; MLC = Measure Labor Cost</w:t>
      </w:r>
    </w:p>
    <w:p w14:paraId="22C7276D" w14:textId="77777777" w:rsidR="00D67A65" w:rsidRPr="00920905" w:rsidRDefault="00D67A65" w:rsidP="00D67A65">
      <w:pPr>
        <w:rPr>
          <w:sz w:val="20"/>
          <w:szCs w:val="20"/>
        </w:rPr>
      </w:pPr>
      <w:r w:rsidRPr="00920905">
        <w:rPr>
          <w:sz w:val="20"/>
          <w:szCs w:val="20"/>
        </w:rPr>
        <w:t>BEC = Base Case Equipment Cost; BLC = Base Case Labor Cost</w:t>
      </w:r>
    </w:p>
    <w:p w14:paraId="25BEFDC6" w14:textId="77777777" w:rsidR="00D67A65" w:rsidRDefault="00D67A65" w:rsidP="00C74D45">
      <w:pPr>
        <w:rPr>
          <w:rFonts w:ascii="Arial" w:hAnsi="Arial"/>
          <w:i/>
          <w:sz w:val="20"/>
          <w:lang w:val="it-IT"/>
        </w:rPr>
      </w:pPr>
    </w:p>
    <w:p w14:paraId="00B84AD7" w14:textId="77777777" w:rsidR="00D67A65" w:rsidRDefault="00D67A65" w:rsidP="00D67A65">
      <w:pPr>
        <w:rPr>
          <w:b/>
        </w:rPr>
      </w:pPr>
      <w:r>
        <w:rPr>
          <w:b/>
        </w:rPr>
        <w:t xml:space="preserve">Full and </w:t>
      </w:r>
      <w:r w:rsidRPr="00DE77D0">
        <w:rPr>
          <w:b/>
        </w:rPr>
        <w:t>Incremental Cost</w:t>
      </w:r>
      <w:r>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D67A65" w:rsidRPr="00500C4E" w14:paraId="4F3F6CFB" w14:textId="77777777" w:rsidTr="00000ED1">
        <w:tc>
          <w:tcPr>
            <w:tcW w:w="587" w:type="pct"/>
            <w:vMerge w:val="restart"/>
            <w:shd w:val="clear" w:color="auto" w:fill="D9D9D9" w:themeFill="background1" w:themeFillShade="D9"/>
          </w:tcPr>
          <w:p w14:paraId="694659A6" w14:textId="77777777" w:rsidR="00D67A65" w:rsidRDefault="00D67A65" w:rsidP="00000ED1">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4AEA2BD7" w14:textId="77777777" w:rsidR="00D67A65" w:rsidRPr="00DE77D0" w:rsidRDefault="00D67A65" w:rsidP="00000ED1">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14A0BE96" w14:textId="77777777" w:rsidR="00D67A65" w:rsidRPr="00DE77D0" w:rsidRDefault="00D67A65" w:rsidP="00000ED1">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5BC2E0C" w14:textId="77777777" w:rsidR="00D67A65" w:rsidRPr="00DE77D0" w:rsidRDefault="00D67A65" w:rsidP="00000ED1">
            <w:pPr>
              <w:rPr>
                <w:rFonts w:cstheme="minorHAnsi"/>
                <w:b/>
                <w:szCs w:val="20"/>
                <w:highlight w:val="yellow"/>
              </w:rPr>
            </w:pPr>
            <w:r>
              <w:rPr>
                <w:rFonts w:cstheme="minorHAnsi"/>
                <w:b/>
                <w:szCs w:val="20"/>
              </w:rPr>
              <w:t>Full Measure Cost</w:t>
            </w:r>
          </w:p>
        </w:tc>
      </w:tr>
      <w:tr w:rsidR="00D67A65" w:rsidRPr="00500C4E" w14:paraId="68F9DEBB" w14:textId="77777777" w:rsidTr="00000ED1">
        <w:tc>
          <w:tcPr>
            <w:tcW w:w="587" w:type="pct"/>
            <w:vMerge/>
            <w:shd w:val="clear" w:color="auto" w:fill="D9D9D9" w:themeFill="background1" w:themeFillShade="D9"/>
          </w:tcPr>
          <w:p w14:paraId="4F44C54E" w14:textId="77777777" w:rsidR="00D67A65" w:rsidRPr="00DE77D0" w:rsidRDefault="00D67A65" w:rsidP="00000ED1">
            <w:pPr>
              <w:rPr>
                <w:rFonts w:cstheme="minorHAnsi"/>
                <w:b/>
                <w:szCs w:val="20"/>
              </w:rPr>
            </w:pPr>
          </w:p>
        </w:tc>
        <w:tc>
          <w:tcPr>
            <w:tcW w:w="618" w:type="pct"/>
            <w:vMerge/>
            <w:shd w:val="clear" w:color="auto" w:fill="D9D9D9" w:themeFill="background1" w:themeFillShade="D9"/>
          </w:tcPr>
          <w:p w14:paraId="1C521F4C" w14:textId="77777777" w:rsidR="00D67A65" w:rsidRPr="00DE77D0" w:rsidRDefault="00D67A65" w:rsidP="00000ED1">
            <w:pPr>
              <w:rPr>
                <w:rFonts w:cstheme="minorHAnsi"/>
                <w:b/>
                <w:szCs w:val="20"/>
              </w:rPr>
            </w:pPr>
          </w:p>
        </w:tc>
        <w:tc>
          <w:tcPr>
            <w:tcW w:w="1266" w:type="pct"/>
            <w:vMerge/>
            <w:shd w:val="clear" w:color="auto" w:fill="D9D9D9" w:themeFill="background1" w:themeFillShade="D9"/>
          </w:tcPr>
          <w:p w14:paraId="158777E9" w14:textId="77777777" w:rsidR="00D67A65" w:rsidRPr="00DE77D0" w:rsidRDefault="00D67A65" w:rsidP="00000ED1">
            <w:pPr>
              <w:rPr>
                <w:rFonts w:cstheme="minorHAnsi"/>
                <w:b/>
                <w:szCs w:val="20"/>
              </w:rPr>
            </w:pPr>
          </w:p>
        </w:tc>
        <w:tc>
          <w:tcPr>
            <w:tcW w:w="1225" w:type="pct"/>
            <w:shd w:val="clear" w:color="auto" w:fill="F2F2F2" w:themeFill="background1" w:themeFillShade="F2"/>
          </w:tcPr>
          <w:p w14:paraId="090FDC32" w14:textId="77777777" w:rsidR="00D67A65" w:rsidRPr="00DE77D0" w:rsidRDefault="00D67A65" w:rsidP="00000ED1">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407F26A2" w14:textId="77777777" w:rsidR="00D67A65" w:rsidRPr="00DE77D0" w:rsidRDefault="00D67A65" w:rsidP="00000ED1">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D67A65" w:rsidRPr="00500C4E" w14:paraId="23E20660" w14:textId="77777777" w:rsidTr="00000ED1">
        <w:tc>
          <w:tcPr>
            <w:tcW w:w="587" w:type="pct"/>
          </w:tcPr>
          <w:p w14:paraId="54E28985" w14:textId="77777777" w:rsidR="00D67A65" w:rsidRPr="00920905" w:rsidRDefault="00D67A65" w:rsidP="00000ED1">
            <w:pPr>
              <w:rPr>
                <w:rFonts w:cstheme="minorHAnsi"/>
                <w:color w:val="FF0000"/>
                <w:szCs w:val="20"/>
              </w:rPr>
            </w:pPr>
            <w:r>
              <w:rPr>
                <w:rFonts w:cstheme="minorHAnsi"/>
                <w:szCs w:val="20"/>
              </w:rPr>
              <w:t>AC-91987</w:t>
            </w:r>
          </w:p>
        </w:tc>
        <w:tc>
          <w:tcPr>
            <w:tcW w:w="618" w:type="pct"/>
          </w:tcPr>
          <w:p w14:paraId="11C28823" w14:textId="73715DA3" w:rsidR="00D67A65" w:rsidRPr="00577DDB" w:rsidRDefault="00D67A65" w:rsidP="00000ED1">
            <w:pPr>
              <w:rPr>
                <w:rFonts w:cstheme="minorHAnsi"/>
                <w:szCs w:val="20"/>
              </w:rPr>
            </w:pPr>
            <w:r>
              <w:rPr>
                <w:rFonts w:cstheme="minorHAnsi"/>
                <w:szCs w:val="20"/>
              </w:rPr>
              <w:t>ROB</w:t>
            </w:r>
          </w:p>
        </w:tc>
        <w:tc>
          <w:tcPr>
            <w:tcW w:w="1266" w:type="pct"/>
            <w:vAlign w:val="bottom"/>
          </w:tcPr>
          <w:p w14:paraId="6EED71DE" w14:textId="2C230745" w:rsidR="00D67A65" w:rsidRPr="00577DDB" w:rsidRDefault="00D67A65">
            <w:pPr>
              <w:rPr>
                <w:rFonts w:cstheme="minorHAnsi"/>
                <w:szCs w:val="20"/>
              </w:rPr>
            </w:pPr>
            <w:r w:rsidRPr="00577DDB">
              <w:rPr>
                <w:rFonts w:ascii="Calibri" w:hAnsi="Calibri" w:cs="Arial"/>
                <w:szCs w:val="20"/>
              </w:rPr>
              <w:t>$</w:t>
            </w:r>
            <w:r>
              <w:rPr>
                <w:rFonts w:ascii="Calibri" w:hAnsi="Calibri" w:cs="Arial"/>
                <w:szCs w:val="20"/>
              </w:rPr>
              <w:t>0.</w:t>
            </w:r>
            <w:r w:rsidR="009D550D">
              <w:rPr>
                <w:rFonts w:ascii="Calibri" w:hAnsi="Calibri" w:cs="Arial"/>
                <w:szCs w:val="20"/>
              </w:rPr>
              <w:t>46</w:t>
            </w:r>
          </w:p>
        </w:tc>
        <w:tc>
          <w:tcPr>
            <w:tcW w:w="1225" w:type="pct"/>
            <w:vAlign w:val="bottom"/>
          </w:tcPr>
          <w:p w14:paraId="2636329C" w14:textId="6E425EE3" w:rsidR="00D67A65" w:rsidRPr="00577DDB" w:rsidRDefault="00C74D45" w:rsidP="00C74D45">
            <w:pPr>
              <w:rPr>
                <w:rFonts w:cstheme="minorHAnsi"/>
                <w:szCs w:val="20"/>
              </w:rPr>
            </w:pPr>
            <w:r>
              <w:rPr>
                <w:rFonts w:ascii="Calibri" w:hAnsi="Calibri" w:cs="Arial"/>
                <w:szCs w:val="20"/>
              </w:rPr>
              <w:t xml:space="preserve">$0.46 </w:t>
            </w:r>
          </w:p>
        </w:tc>
        <w:tc>
          <w:tcPr>
            <w:tcW w:w="1304" w:type="pct"/>
          </w:tcPr>
          <w:p w14:paraId="08403FF3" w14:textId="77777777" w:rsidR="00D67A65" w:rsidRPr="00577DDB" w:rsidRDefault="00D67A65" w:rsidP="00000ED1">
            <w:pPr>
              <w:rPr>
                <w:rFonts w:cstheme="minorHAnsi"/>
                <w:szCs w:val="20"/>
              </w:rPr>
            </w:pPr>
            <w:r w:rsidRPr="00577DDB">
              <w:rPr>
                <w:rFonts w:cstheme="minorHAnsi"/>
                <w:szCs w:val="20"/>
              </w:rPr>
              <w:t>N/A</w:t>
            </w:r>
          </w:p>
        </w:tc>
      </w:tr>
    </w:tbl>
    <w:p w14:paraId="7ECCD9CE" w14:textId="77777777" w:rsidR="00D67A65" w:rsidRDefault="00D67A65">
      <w:pPr>
        <w:rPr>
          <w:lang w:val="it-IT"/>
        </w:rPr>
      </w:pPr>
    </w:p>
    <w:p w14:paraId="13CC9EC3" w14:textId="77777777" w:rsidR="00D67A65" w:rsidRDefault="00D67A65">
      <w:pPr>
        <w:rPr>
          <w:lang w:val="it-IT"/>
        </w:rPr>
      </w:pPr>
    </w:p>
    <w:p w14:paraId="407EE244" w14:textId="77777777" w:rsidR="001A402E" w:rsidRDefault="001A402E">
      <w:pPr>
        <w:rPr>
          <w:lang w:val="it-IT"/>
        </w:rPr>
      </w:pPr>
    </w:p>
    <w:p w14:paraId="6BA3E660" w14:textId="77777777" w:rsidR="001A402E" w:rsidRDefault="001A402E">
      <w:pPr>
        <w:rPr>
          <w:lang w:val="it-IT"/>
        </w:rPr>
      </w:pPr>
    </w:p>
    <w:p w14:paraId="09C9DB47" w14:textId="77777777" w:rsidR="001A402E" w:rsidRDefault="001A402E">
      <w:pPr>
        <w:rPr>
          <w:lang w:val="it-IT"/>
        </w:rPr>
      </w:pPr>
    </w:p>
    <w:p w14:paraId="4A3631A2" w14:textId="77777777" w:rsidR="005A2EFE" w:rsidRDefault="005A2EFE" w:rsidP="00E16609">
      <w:pPr>
        <w:pStyle w:val="Heading1"/>
        <w:rPr>
          <w:rFonts w:cstheme="minorHAnsi"/>
          <w:szCs w:val="22"/>
        </w:rPr>
      </w:pPr>
    </w:p>
    <w:p w14:paraId="51766174" w14:textId="77777777" w:rsidR="005A2EFE" w:rsidRDefault="005A2EFE">
      <w:pPr>
        <w:spacing w:after="200" w:line="276" w:lineRule="auto"/>
        <w:rPr>
          <w:rFonts w:cstheme="minorHAnsi"/>
          <w:b/>
          <w:bCs/>
          <w:smallCaps/>
          <w:kern w:val="32"/>
          <w:sz w:val="36"/>
          <w:szCs w:val="22"/>
        </w:rPr>
      </w:pPr>
      <w:r>
        <w:rPr>
          <w:rFonts w:cstheme="minorHAnsi"/>
          <w:szCs w:val="22"/>
        </w:rPr>
        <w:br w:type="page"/>
      </w:r>
    </w:p>
    <w:bookmarkEnd w:id="27"/>
    <w:p w14:paraId="4116C328" w14:textId="77777777" w:rsidR="00E16609" w:rsidRPr="00397406" w:rsidRDefault="00E16609" w:rsidP="00E16609">
      <w:pPr>
        <w:pStyle w:val="Heading1"/>
        <w:rPr>
          <w:rFonts w:cstheme="minorHAnsi"/>
        </w:rPr>
      </w:pPr>
      <w:r w:rsidRPr="00397406">
        <w:rPr>
          <w:rFonts w:cstheme="minorHAnsi"/>
        </w:rPr>
        <w:lastRenderedPageBreak/>
        <w:t>Attachments</w:t>
      </w:r>
    </w:p>
    <w:p w14:paraId="219AA68B" w14:textId="77777777" w:rsidR="00907879" w:rsidRPr="00697868" w:rsidRDefault="00907879" w:rsidP="00907879">
      <w:pPr>
        <w:rPr>
          <w:rFonts w:cstheme="minorHAnsi"/>
        </w:rPr>
      </w:pPr>
    </w:p>
    <w:p w14:paraId="265A6834" w14:textId="1F1A28B1" w:rsidR="005262B6" w:rsidRPr="00A50B7B" w:rsidRDefault="005262B6" w:rsidP="005262B6">
      <w:pPr>
        <w:pStyle w:val="Reminders"/>
        <w:numPr>
          <w:ilvl w:val="0"/>
          <w:numId w:val="24"/>
        </w:numPr>
        <w:rPr>
          <w:rFonts w:asciiTheme="minorHAnsi" w:hAnsiTheme="minorHAnsi" w:cstheme="minorHAnsi"/>
          <w:i w:val="0"/>
          <w:color w:val="auto"/>
          <w:szCs w:val="22"/>
        </w:rPr>
      </w:pPr>
      <w:r w:rsidRPr="005262B6">
        <w:rPr>
          <w:rFonts w:asciiTheme="minorHAnsi" w:hAnsiTheme="minorHAnsi" w:cstheme="minorHAnsi"/>
          <w:i w:val="0"/>
          <w:color w:val="auto"/>
          <w:szCs w:val="22"/>
        </w:rPr>
        <w:t>SCE17HC040.0</w:t>
      </w:r>
      <w:r>
        <w:rPr>
          <w:rFonts w:asciiTheme="minorHAnsi" w:hAnsiTheme="minorHAnsi" w:cstheme="minorHAnsi"/>
          <w:i w:val="0"/>
          <w:color w:val="auto"/>
          <w:szCs w:val="22"/>
        </w:rPr>
        <w:t xml:space="preserve"> </w:t>
      </w:r>
      <w:r w:rsidRPr="00D25550">
        <w:rPr>
          <w:rFonts w:asciiTheme="minorHAnsi" w:hAnsiTheme="minorHAnsi" w:cstheme="minorHAnsi"/>
          <w:i w:val="0"/>
          <w:color w:val="auto"/>
          <w:szCs w:val="22"/>
        </w:rPr>
        <w:t>-</w:t>
      </w:r>
      <w:r>
        <w:rPr>
          <w:rFonts w:asciiTheme="minorHAnsi" w:hAnsiTheme="minorHAnsi" w:cstheme="minorHAnsi"/>
          <w:i w:val="0"/>
          <w:color w:val="auto"/>
          <w:szCs w:val="22"/>
        </w:rPr>
        <w:t xml:space="preserve"> Calculation Template</w:t>
      </w:r>
    </w:p>
    <w:p w14:paraId="755C684E" w14:textId="7D7EB801" w:rsidR="005262B6" w:rsidRPr="004D3730" w:rsidRDefault="001C761D" w:rsidP="001C761D">
      <w:pPr>
        <w:pStyle w:val="Reminders"/>
        <w:numPr>
          <w:ilvl w:val="0"/>
          <w:numId w:val="24"/>
        </w:numPr>
        <w:rPr>
          <w:rFonts w:asciiTheme="minorHAnsi" w:hAnsiTheme="minorHAnsi" w:cstheme="minorHAnsi"/>
          <w:i w:val="0"/>
          <w:color w:val="auto"/>
          <w:szCs w:val="22"/>
        </w:rPr>
      </w:pPr>
      <w:r w:rsidRPr="005262B6">
        <w:rPr>
          <w:rFonts w:asciiTheme="minorHAnsi" w:hAnsiTheme="minorHAnsi" w:cstheme="minorHAnsi"/>
          <w:i w:val="0"/>
          <w:color w:val="auto"/>
          <w:szCs w:val="22"/>
        </w:rPr>
        <w:t>SCE17HC040.0</w:t>
      </w:r>
      <w:r>
        <w:rPr>
          <w:rFonts w:asciiTheme="minorHAnsi" w:hAnsiTheme="minorHAnsi" w:cstheme="minorHAnsi"/>
          <w:i w:val="0"/>
          <w:color w:val="auto"/>
          <w:szCs w:val="22"/>
        </w:rPr>
        <w:t xml:space="preserve"> </w:t>
      </w:r>
      <w:r w:rsidRPr="00D25550">
        <w:rPr>
          <w:rFonts w:asciiTheme="minorHAnsi" w:hAnsiTheme="minorHAnsi" w:cstheme="minorHAnsi"/>
          <w:i w:val="0"/>
          <w:color w:val="auto"/>
          <w:szCs w:val="22"/>
        </w:rPr>
        <w:t>-</w:t>
      </w:r>
      <w:r>
        <w:rPr>
          <w:rFonts w:asciiTheme="minorHAnsi" w:hAnsiTheme="minorHAnsi" w:cstheme="minorHAnsi"/>
          <w:i w:val="0"/>
          <w:color w:val="auto"/>
          <w:szCs w:val="22"/>
        </w:rPr>
        <w:t xml:space="preserve"> </w:t>
      </w:r>
      <w:bookmarkStart w:id="28" w:name="_MON_1539157520"/>
      <w:bookmarkEnd w:id="28"/>
      <w:r w:rsidRPr="001C761D">
        <w:rPr>
          <w:rFonts w:asciiTheme="minorHAnsi" w:hAnsiTheme="minorHAnsi" w:cstheme="minorHAnsi"/>
          <w:i w:val="0"/>
          <w:color w:val="auto"/>
          <w:szCs w:val="22"/>
        </w:rPr>
        <w:t>CVB_PostProcessing_ReWeighed 12_04_2017</w:t>
      </w:r>
    </w:p>
    <w:p w14:paraId="751A7B3C" w14:textId="451103A9" w:rsidR="005262B6" w:rsidRPr="004D3730" w:rsidRDefault="001C761D" w:rsidP="005262B6">
      <w:pPr>
        <w:pStyle w:val="Reminders"/>
        <w:numPr>
          <w:ilvl w:val="0"/>
          <w:numId w:val="24"/>
        </w:numPr>
        <w:rPr>
          <w:rFonts w:asciiTheme="minorHAnsi" w:hAnsiTheme="minorHAnsi" w:cstheme="minorHAnsi"/>
          <w:i w:val="0"/>
          <w:color w:val="auto"/>
          <w:szCs w:val="22"/>
        </w:rPr>
      </w:pPr>
      <w:r w:rsidRPr="005262B6">
        <w:rPr>
          <w:rFonts w:asciiTheme="minorHAnsi" w:hAnsiTheme="minorHAnsi" w:cstheme="minorHAnsi"/>
          <w:i w:val="0"/>
          <w:color w:val="auto"/>
          <w:szCs w:val="22"/>
        </w:rPr>
        <w:t>SCE17HC040.0</w:t>
      </w:r>
      <w:r>
        <w:rPr>
          <w:rFonts w:asciiTheme="minorHAnsi" w:hAnsiTheme="minorHAnsi" w:cstheme="minorHAnsi"/>
          <w:i w:val="0"/>
          <w:color w:val="auto"/>
          <w:szCs w:val="22"/>
        </w:rPr>
        <w:t xml:space="preserve"> – Belt Cost Calculation</w:t>
      </w:r>
    </w:p>
    <w:p w14:paraId="5D471661" w14:textId="77777777" w:rsidR="00907879" w:rsidRDefault="00907879" w:rsidP="00907879">
      <w:pPr>
        <w:rPr>
          <w:rFonts w:cstheme="minorHAnsi"/>
        </w:rPr>
      </w:pPr>
    </w:p>
    <w:p w14:paraId="0B32808D" w14:textId="77777777" w:rsidR="00907879" w:rsidRPr="00621994" w:rsidRDefault="00907879" w:rsidP="00907879">
      <w:pPr>
        <w:rPr>
          <w:rFonts w:cstheme="minorHAnsi"/>
        </w:rPr>
      </w:pPr>
    </w:p>
    <w:p w14:paraId="11A8493B" w14:textId="77777777" w:rsidR="00612041" w:rsidRPr="00397406" w:rsidRDefault="00612041" w:rsidP="00E16609">
      <w:pPr>
        <w:rPr>
          <w:rFonts w:cstheme="minorHAnsi"/>
        </w:rPr>
      </w:pPr>
      <w:bookmarkStart w:id="29" w:name="_Ref390445287"/>
      <w:bookmarkEnd w:id="29"/>
    </w:p>
    <w:p w14:paraId="000E043A" w14:textId="77777777" w:rsidR="00C54EFF" w:rsidRPr="00397406" w:rsidRDefault="00C54EFF" w:rsidP="00E16609">
      <w:pPr>
        <w:rPr>
          <w:rFonts w:cstheme="minorHAnsi"/>
        </w:rPr>
      </w:pPr>
    </w:p>
    <w:p w14:paraId="34C4C37E" w14:textId="77777777" w:rsidR="00C54EFF" w:rsidRPr="00397406" w:rsidRDefault="00C54EFF">
      <w:pPr>
        <w:spacing w:after="200" w:line="276" w:lineRule="auto"/>
        <w:rPr>
          <w:rFonts w:cstheme="minorHAnsi"/>
        </w:rPr>
      </w:pPr>
      <w:r w:rsidRPr="00397406">
        <w:rPr>
          <w:rFonts w:cstheme="minorHAnsi"/>
        </w:rPr>
        <w:br w:type="page"/>
      </w:r>
    </w:p>
    <w:p w14:paraId="7B8C88DF" w14:textId="77777777" w:rsidR="00C54EFF" w:rsidRPr="00397406" w:rsidRDefault="00C54EFF" w:rsidP="00C54EFF">
      <w:pPr>
        <w:pStyle w:val="Heading1"/>
        <w:rPr>
          <w:rFonts w:cstheme="minorHAnsi"/>
        </w:rPr>
      </w:pPr>
      <w:r w:rsidRPr="00397406">
        <w:rPr>
          <w:rFonts w:cstheme="minorHAnsi"/>
        </w:rPr>
        <w:lastRenderedPageBreak/>
        <w:t>References</w:t>
      </w:r>
    </w:p>
    <w:p w14:paraId="2E36B2E3" w14:textId="4EAB4726" w:rsidR="001C761D" w:rsidRDefault="001C761D" w:rsidP="001C761D">
      <w:r w:rsidRPr="00F53B8E">
        <w:t xml:space="preserve">References in this version of the work paper is based on the references file </w:t>
      </w:r>
      <w:r w:rsidRPr="00E41995">
        <w:rPr>
          <w:i/>
        </w:rPr>
        <w:t>“[References_11152017_131456]”</w:t>
      </w:r>
      <w:r w:rsidRPr="00F53B8E">
        <w:t>.</w:t>
      </w:r>
    </w:p>
    <w:p w14:paraId="15DDF5F9" w14:textId="77777777" w:rsidR="00DE5FCF" w:rsidRPr="00397406" w:rsidRDefault="00DE5FCF" w:rsidP="0091424C">
      <w:pPr>
        <w:pStyle w:val="Reminders"/>
        <w:rPr>
          <w:rStyle w:val="ReminderChar"/>
          <w:rFonts w:asciiTheme="minorHAnsi" w:hAnsiTheme="minorHAnsi" w:cstheme="minorHAnsi"/>
          <w:sz w:val="22"/>
          <w:szCs w:val="22"/>
        </w:rPr>
      </w:pPr>
    </w:p>
    <w:p w14:paraId="7F320E25" w14:textId="77777777" w:rsidR="00907879" w:rsidRDefault="00907879" w:rsidP="00907879">
      <w:pPr>
        <w:pStyle w:val="Reminders"/>
        <w:rPr>
          <w:rStyle w:val="ReminderChar"/>
          <w:rFonts w:asciiTheme="minorHAnsi" w:hAnsiTheme="minorHAnsi" w:cstheme="minorHAnsi"/>
          <w:color w:val="auto"/>
          <w:sz w:val="22"/>
          <w:szCs w:val="22"/>
        </w:rPr>
      </w:pPr>
      <w:r w:rsidRPr="00C74D45">
        <w:rPr>
          <w:rStyle w:val="ReminderChar"/>
          <w:rFonts w:asciiTheme="minorHAnsi" w:hAnsiTheme="minorHAnsi" w:cstheme="minorHAnsi"/>
          <w:color w:val="auto"/>
          <w:sz w:val="22"/>
          <w:szCs w:val="22"/>
        </w:rPr>
        <w:t>[31]</w:t>
      </w:r>
    </w:p>
    <w:p w14:paraId="324FDD3C" w14:textId="3CE70B95" w:rsidR="008B37A7" w:rsidRPr="00C74D45" w:rsidRDefault="008B37A7" w:rsidP="00907879">
      <w:pPr>
        <w:pStyle w:val="Reminders"/>
        <w:rPr>
          <w:rStyle w:val="ReminderChar"/>
          <w:rFonts w:asciiTheme="minorHAnsi" w:hAnsiTheme="minorHAnsi" w:cstheme="minorHAnsi"/>
          <w:color w:val="auto"/>
          <w:sz w:val="22"/>
          <w:szCs w:val="22"/>
        </w:rPr>
      </w:pPr>
      <w:r>
        <w:rPr>
          <w:rStyle w:val="ReminderChar"/>
          <w:rFonts w:asciiTheme="minorHAnsi" w:hAnsiTheme="minorHAnsi" w:cstheme="minorHAnsi"/>
          <w:color w:val="auto"/>
          <w:sz w:val="22"/>
          <w:szCs w:val="22"/>
        </w:rPr>
        <w:t>[475]</w:t>
      </w:r>
    </w:p>
    <w:p w14:paraId="33146319" w14:textId="77777777" w:rsidR="00907879" w:rsidRDefault="00907879" w:rsidP="00907879">
      <w:pPr>
        <w:pStyle w:val="Reminders"/>
        <w:rPr>
          <w:rStyle w:val="ReminderChar"/>
          <w:rFonts w:asciiTheme="minorHAnsi" w:hAnsiTheme="minorHAnsi" w:cstheme="minorHAnsi"/>
          <w:sz w:val="22"/>
          <w:szCs w:val="22"/>
        </w:rPr>
      </w:pPr>
    </w:p>
    <w:p w14:paraId="302A7FF6" w14:textId="510FFFAB" w:rsidR="00907879" w:rsidRDefault="00907879" w:rsidP="00907879">
      <w:pPr>
        <w:pStyle w:val="ListParagraph"/>
        <w:numPr>
          <w:ilvl w:val="0"/>
          <w:numId w:val="17"/>
        </w:numPr>
      </w:pPr>
      <w:bookmarkStart w:id="30" w:name="_Ref327947076"/>
      <w:r>
        <w:t>Jim Cole, "Summary of Findings of CIEE Technology Assessment of Energy-Efficient Belt Transmission," Cogged V-belts typical efficiency improvement of 3%... University of California Berkeley, Memorandum, August 17, 1994.  Attached paper by Almeida, Anibal De, University of Coimbra, and Steve Greenberg, Lawrence Berkeley laboratory.</w:t>
      </w:r>
      <w:bookmarkEnd w:id="30"/>
    </w:p>
    <w:p w14:paraId="697BDDF3" w14:textId="77777777" w:rsidR="00907879" w:rsidRDefault="00907879" w:rsidP="00907879"/>
    <w:p w14:paraId="4FFEAE75" w14:textId="77777777" w:rsidR="00907879" w:rsidRDefault="00907879" w:rsidP="00907879">
      <w:pPr>
        <w:pStyle w:val="ListParagraph"/>
        <w:numPr>
          <w:ilvl w:val="0"/>
          <w:numId w:val="17"/>
        </w:numPr>
      </w:pPr>
      <w:bookmarkStart w:id="31" w:name="_Ref327947100"/>
      <w:r>
        <w:t>"Gates Corporation Announces New EPDM Modeled Notch V-belts, June 2010 (Assumed 3% efficiency improvement)  http://www.gates.com/news/index.cfm?id=11296$show=newsitem&amp;location _id=753&amp;view=Gates</w:t>
      </w:r>
      <w:bookmarkEnd w:id="31"/>
    </w:p>
    <w:p w14:paraId="7877B004" w14:textId="77777777" w:rsidR="00907879" w:rsidRDefault="00907879" w:rsidP="00907879"/>
    <w:p w14:paraId="22A890C7" w14:textId="77777777" w:rsidR="00907879" w:rsidRDefault="00907879" w:rsidP="00907879">
      <w:pPr>
        <w:pStyle w:val="ListParagraph"/>
        <w:numPr>
          <w:ilvl w:val="0"/>
          <w:numId w:val="17"/>
        </w:numPr>
      </w:pPr>
      <w:bookmarkStart w:id="32" w:name="_Ref327947109"/>
      <w:r>
        <w:t>Ula, Sadrul, Larry E. Birnbaum, Don Jordan, "Energy Efficient Drivepower: An Overview," Electrical Engineering Dept, University of Wyoming, for Bonneville Power Administration, (1% to 2% page 33).</w:t>
      </w:r>
      <w:bookmarkEnd w:id="32"/>
    </w:p>
    <w:p w14:paraId="37C6D791" w14:textId="77777777" w:rsidR="00907879" w:rsidRDefault="00907879" w:rsidP="00907879"/>
    <w:p w14:paraId="6248B522" w14:textId="77777777" w:rsidR="00907879" w:rsidRDefault="00907879" w:rsidP="00907879">
      <w:pPr>
        <w:pStyle w:val="ListParagraph"/>
        <w:numPr>
          <w:ilvl w:val="0"/>
          <w:numId w:val="17"/>
        </w:numPr>
      </w:pPr>
      <w:bookmarkStart w:id="33" w:name="_Ref327947113"/>
      <w:r>
        <w:t>"Energy Loss and Efficiency of Power Transmission Belts," Advanced Engineering Research, Belt Technical Center, Carlisle Power Transmission Products, Third Work Energy Engineering Congress, Association of Energy Engineers, 1977. (Conclusion: "…classical B-section cogged belts ...demonstrated the largest energy savings, ranging from 3 to 6 percent."</w:t>
      </w:r>
      <w:bookmarkEnd w:id="33"/>
    </w:p>
    <w:p w14:paraId="1A59C2EE" w14:textId="77777777" w:rsidR="00907879" w:rsidRDefault="00907879" w:rsidP="00907879">
      <w:pPr>
        <w:pStyle w:val="ListParagraph"/>
      </w:pPr>
    </w:p>
    <w:p w14:paraId="0097D552" w14:textId="77777777" w:rsidR="00907879" w:rsidRDefault="00907879" w:rsidP="00907879">
      <w:pPr>
        <w:pStyle w:val="ListParagraph"/>
        <w:numPr>
          <w:ilvl w:val="0"/>
          <w:numId w:val="17"/>
        </w:numPr>
      </w:pPr>
      <w:bookmarkStart w:id="34" w:name="_Ref327947147"/>
      <w:r>
        <w:t xml:space="preserve">Motor System Tip Sheet #5, Replace V-belts with Cogged or Synchronous Belt Drives,” USDOE-EERE, September 2005. (Specified 2% based on review of same references) </w:t>
      </w:r>
      <w:hyperlink r:id="rId12" w:history="1">
        <w:r w:rsidRPr="005564B2">
          <w:rPr>
            <w:rStyle w:val="Hyperlink"/>
          </w:rPr>
          <w:t>http://www1.eere.energy.gov/industry/bestpractices/pdfs/replace_vbelts_motor_systemts5.pdf</w:t>
        </w:r>
      </w:hyperlink>
      <w:bookmarkEnd w:id="34"/>
    </w:p>
    <w:p w14:paraId="5BDF4862" w14:textId="77777777" w:rsidR="00907879" w:rsidRDefault="00907879" w:rsidP="00907879">
      <w:pPr>
        <w:pStyle w:val="ListParagraph"/>
      </w:pPr>
    </w:p>
    <w:p w14:paraId="43E783EF" w14:textId="77777777" w:rsidR="00907879" w:rsidRPr="00904C7B" w:rsidRDefault="00907879" w:rsidP="00907879">
      <w:pPr>
        <w:pStyle w:val="ListParagraph"/>
        <w:numPr>
          <w:ilvl w:val="0"/>
          <w:numId w:val="17"/>
        </w:numPr>
        <w:rPr>
          <w:rStyle w:val="ReminderChar"/>
          <w:rFonts w:ascii="Times New Roman" w:hAnsi="Times New Roman"/>
          <w:i w:val="0"/>
          <w:color w:val="auto"/>
        </w:rPr>
      </w:pPr>
      <w:bookmarkStart w:id="35" w:name="_Ref386195297"/>
      <w:bookmarkStart w:id="36" w:name="_Ref327947394"/>
      <w:r>
        <w:t>eQUEST – building energy use and cost analysis software, developed by James J. Hirsch &amp; Associates, version 3.64.</w:t>
      </w:r>
      <w:bookmarkEnd w:id="35"/>
      <w:bookmarkEnd w:id="36"/>
    </w:p>
    <w:p w14:paraId="23BD41BD" w14:textId="77777777" w:rsidR="0091424C" w:rsidRPr="00397406" w:rsidRDefault="0091424C" w:rsidP="00AB36DB">
      <w:pPr>
        <w:rPr>
          <w:rFonts w:cstheme="minorHAnsi"/>
        </w:rPr>
      </w:pPr>
    </w:p>
    <w:p w14:paraId="2E8FC84D" w14:textId="77777777" w:rsidR="00AB36DB" w:rsidRPr="00397406" w:rsidRDefault="00AB36DB" w:rsidP="00AB36DB"/>
    <w:p w14:paraId="09BA6F6D" w14:textId="77777777" w:rsidR="00A523FF" w:rsidRPr="00397406" w:rsidRDefault="00A523FF" w:rsidP="00C74D45">
      <w:pPr>
        <w:keepNext/>
        <w:spacing w:before="240" w:after="120"/>
        <w:outlineLvl w:val="0"/>
      </w:pPr>
    </w:p>
    <w:sectPr w:rsidR="00A523FF" w:rsidRPr="00397406" w:rsidSect="0056434B">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2A9CE" w14:textId="77777777" w:rsidR="003C74B7" w:rsidRDefault="003C74B7" w:rsidP="00447D6E">
      <w:r>
        <w:separator/>
      </w:r>
    </w:p>
  </w:endnote>
  <w:endnote w:type="continuationSeparator" w:id="0">
    <w:p w14:paraId="6B08E924" w14:textId="77777777" w:rsidR="003C74B7" w:rsidRDefault="003C74B7"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B1D57" w14:textId="6FFAF0BA" w:rsidR="00E25F9B" w:rsidRDefault="00FF51B0" w:rsidP="00447D6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8-01-23T00:00:00Z">
          <w:dateFormat w:val="MMMM d, yyyy"/>
          <w:lid w:val="en-US"/>
          <w:storeMappedDataAs w:val="dateTime"/>
          <w:calendar w:val="gregorian"/>
        </w:date>
      </w:sdtPr>
      <w:sdtEndPr/>
      <w:sdtContent>
        <w:r w:rsidR="00E25F9B">
          <w:rPr>
            <w:rFonts w:cstheme="minorHAnsi"/>
            <w:b/>
            <w:sz w:val="36"/>
            <w:szCs w:val="36"/>
          </w:rPr>
          <w:t>January 23, 2018</w:t>
        </w:r>
      </w:sdtContent>
    </w:sdt>
  </w:p>
  <w:p w14:paraId="247181F3" w14:textId="77777777" w:rsidR="00E25F9B" w:rsidRPr="009500DC" w:rsidRDefault="00E25F9B" w:rsidP="00447D6E">
    <w:pPr>
      <w:pStyle w:val="Footer"/>
      <w:jc w:val="right"/>
      <w:rPr>
        <w:rFonts w:cstheme="minorHAnsi"/>
      </w:rPr>
    </w:pPr>
    <w:r>
      <w:rPr>
        <w:rFonts w:cstheme="minorHAnsi"/>
        <w:b/>
        <w:sz w:val="36"/>
        <w:szCs w:val="36"/>
      </w:rPr>
      <w:fldChar w:fldCharType="begin"/>
    </w:r>
    <w:r>
      <w:rPr>
        <w:rFonts w:cstheme="minorHAnsi"/>
        <w:b/>
        <w:sz w:val="36"/>
        <w:szCs w:val="36"/>
      </w:rPr>
      <w:instrText xml:space="preserve"> REF WPnumber </w:instrText>
    </w:r>
    <w:r>
      <w:rPr>
        <w:rFonts w:cstheme="minorHAnsi"/>
        <w:b/>
        <w:sz w:val="36"/>
        <w:szCs w:val="3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67B5C" w14:textId="669C0E50" w:rsidR="00E25F9B" w:rsidRPr="009500DC" w:rsidRDefault="00FF51B0"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dataBinding w:prefixMappings="xmlns:ns0='http://purl.org/dc/elements/1.1/' xmlns:ns1='http://schemas.openxmlformats.org/package/2006/metadata/core-properties' " w:xpath="/ns1:coreProperties[1]/ns0:title[1]" w:storeItemID="{6C3C8BC8-F283-45AE-878A-BAB7291924A1}"/>
        <w:text/>
      </w:sdtPr>
      <w:sdtEndPr/>
      <w:sdtContent>
        <w:r w:rsidR="00E25F9B">
          <w:rPr>
            <w:rFonts w:cstheme="minorHAnsi"/>
            <w:b/>
            <w:sz w:val="20"/>
            <w:szCs w:val="20"/>
          </w:rPr>
          <w:t>SCE17HC040</w:t>
        </w:r>
      </w:sdtContent>
    </w:sdt>
    <w:r w:rsidR="00E25F9B">
      <w:rPr>
        <w:rFonts w:cstheme="minorHAnsi"/>
        <w:b/>
        <w:sz w:val="20"/>
        <w:szCs w:val="20"/>
      </w:rPr>
      <w:t xml:space="preserve">, </w:t>
    </w:r>
    <w:sdt>
      <w:sdtPr>
        <w:rPr>
          <w:rFonts w:cstheme="minorHAnsi"/>
          <w:b/>
          <w:sz w:val="20"/>
          <w:szCs w:val="20"/>
        </w:rPr>
        <w:alias w:val="Revision"/>
        <w:tag w:val=""/>
        <w:id w:val="-979308963"/>
        <w:dataBinding w:prefixMappings="xmlns:ns0='http://purl.org/dc/elements/1.1/' xmlns:ns1='http://schemas.openxmlformats.org/package/2006/metadata/core-properties' " w:xpath="/ns1:coreProperties[1]/ns1:contentStatus[1]" w:storeItemID="{6C3C8BC8-F283-45AE-878A-BAB7291924A1}"/>
        <w:text/>
      </w:sdtPr>
      <w:sdtEndPr/>
      <w:sdtContent>
        <w:r w:rsidR="00E25F9B">
          <w:rPr>
            <w:rFonts w:cstheme="minorHAnsi"/>
            <w:b/>
            <w:sz w:val="20"/>
            <w:szCs w:val="20"/>
          </w:rPr>
          <w:t>Revision 0</w:t>
        </w:r>
      </w:sdtContent>
    </w:sdt>
    <w:r w:rsidR="00E25F9B" w:rsidRPr="009500DC">
      <w:rPr>
        <w:rFonts w:cstheme="minorHAnsi"/>
        <w:b/>
        <w:sz w:val="20"/>
        <w:szCs w:val="20"/>
      </w:rPr>
      <w:tab/>
    </w:r>
    <w:r w:rsidR="00E25F9B" w:rsidRPr="009500DC">
      <w:rPr>
        <w:rFonts w:cstheme="minorHAnsi"/>
        <w:b/>
        <w:sz w:val="20"/>
        <w:szCs w:val="20"/>
      </w:rPr>
      <w:fldChar w:fldCharType="begin"/>
    </w:r>
    <w:r w:rsidR="00E25F9B" w:rsidRPr="009500DC">
      <w:rPr>
        <w:rFonts w:cstheme="minorHAnsi"/>
        <w:b/>
        <w:sz w:val="20"/>
        <w:szCs w:val="20"/>
      </w:rPr>
      <w:instrText xml:space="preserve"> PAGE   \* MERGEFORMAT </w:instrText>
    </w:r>
    <w:r w:rsidR="00E25F9B" w:rsidRPr="009500DC">
      <w:rPr>
        <w:rFonts w:cstheme="minorHAnsi"/>
        <w:b/>
        <w:sz w:val="20"/>
        <w:szCs w:val="20"/>
      </w:rPr>
      <w:fldChar w:fldCharType="separate"/>
    </w:r>
    <w:r>
      <w:rPr>
        <w:rFonts w:cstheme="minorHAnsi"/>
        <w:b/>
        <w:noProof/>
        <w:sz w:val="20"/>
        <w:szCs w:val="20"/>
      </w:rPr>
      <w:t>2</w:t>
    </w:r>
    <w:r w:rsidR="00E25F9B" w:rsidRPr="009500DC">
      <w:rPr>
        <w:rFonts w:cstheme="minorHAnsi"/>
        <w:b/>
        <w:noProof/>
        <w:sz w:val="20"/>
        <w:szCs w:val="20"/>
      </w:rPr>
      <w:fldChar w:fldCharType="end"/>
    </w:r>
    <w:r w:rsidR="00E25F9B" w:rsidRPr="009500DC">
      <w:rPr>
        <w:rFonts w:cstheme="minorHAnsi"/>
        <w:b/>
        <w:sz w:val="20"/>
        <w:szCs w:val="20"/>
      </w:rPr>
      <w:tab/>
    </w:r>
    <w:sdt>
      <w:sdtPr>
        <w:rPr>
          <w:rFonts w:cstheme="minorHAnsi"/>
          <w:b/>
          <w:sz w:val="20"/>
          <w:szCs w:val="20"/>
        </w:rPr>
        <w:alias w:val="Date"/>
        <w:tag w:val=""/>
        <w:id w:val="-794524137"/>
        <w:dataBinding w:prefixMappings="xmlns:ns0='http://schemas.microsoft.com/office/2006/coverPageProps' " w:xpath="/ns0:CoverPageProperties[1]/ns0:PublishDate[1]" w:storeItemID="{55AF091B-3C7A-41E3-B477-F2FDAA23CFDA}"/>
        <w:date w:fullDate="2018-01-23T00:00:00Z">
          <w:dateFormat w:val="MMMM d, yyyy"/>
          <w:lid w:val="en-US"/>
          <w:storeMappedDataAs w:val="dateTime"/>
          <w:calendar w:val="gregorian"/>
        </w:date>
      </w:sdtPr>
      <w:sdtEndPr/>
      <w:sdtContent>
        <w:r w:rsidR="00E25F9B">
          <w:rPr>
            <w:rFonts w:cstheme="minorHAnsi"/>
            <w:b/>
            <w:sz w:val="20"/>
            <w:szCs w:val="20"/>
          </w:rPr>
          <w:t>January 23, 2018</w:t>
        </w:r>
      </w:sdtContent>
    </w:sdt>
  </w:p>
  <w:p w14:paraId="610737F6" w14:textId="77777777" w:rsidR="00E25F9B" w:rsidRPr="009500DC" w:rsidRDefault="00FF51B0" w:rsidP="009500DC">
    <w:pPr>
      <w:pStyle w:val="Footer"/>
      <w:pBdr>
        <w:top w:val="single" w:sz="4" w:space="1" w:color="auto"/>
      </w:pBdr>
      <w:rPr>
        <w:rFonts w:cstheme="minorHAnsi"/>
      </w:rPr>
    </w:pPr>
    <w:sdt>
      <w:sdtPr>
        <w:rPr>
          <w:rFonts w:cstheme="minorHAnsi"/>
          <w:b/>
          <w:sz w:val="20"/>
          <w:szCs w:val="20"/>
        </w:rPr>
        <w:alias w:val="Company"/>
        <w:tag w:val=""/>
        <w:id w:val="-62724045"/>
        <w:dataBinding w:prefixMappings="xmlns:ns0='http://schemas.openxmlformats.org/officeDocument/2006/extended-properties' " w:xpath="/ns0:Properties[1]/ns0:Company[1]" w:storeItemID="{6668398D-A668-4E3E-A5EB-62B293D839F1}"/>
        <w:text/>
      </w:sdtPr>
      <w:sdtEndPr/>
      <w:sdtContent>
        <w:r w:rsidR="00E25F9B">
          <w:rPr>
            <w:rFonts w:cstheme="minorHAnsi"/>
            <w:b/>
            <w:sz w:val="20"/>
            <w:szCs w:val="20"/>
          </w:rPr>
          <w:t>Southern California Edison Company</w:t>
        </w:r>
      </w:sdtContent>
    </w:sdt>
  </w:p>
  <w:p w14:paraId="6CFAB367" w14:textId="77777777" w:rsidR="00E25F9B" w:rsidRDefault="00E25F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DFEC6" w14:textId="77777777" w:rsidR="003C74B7" w:rsidRDefault="003C74B7" w:rsidP="00447D6E">
      <w:r>
        <w:separator/>
      </w:r>
    </w:p>
  </w:footnote>
  <w:footnote w:type="continuationSeparator" w:id="0">
    <w:p w14:paraId="4E8E0EFF" w14:textId="77777777" w:rsidR="003C74B7" w:rsidRDefault="003C74B7" w:rsidP="00447D6E">
      <w:r>
        <w:continuationSeparator/>
      </w:r>
    </w:p>
  </w:footnote>
  <w:footnote w:id="1">
    <w:p w14:paraId="166D68A8" w14:textId="77777777" w:rsidR="00E25F9B" w:rsidRDefault="00E25F9B" w:rsidP="00183AB2">
      <w:pPr>
        <w:pStyle w:val="FootnoteText"/>
      </w:pPr>
      <w:r>
        <w:rPr>
          <w:rStyle w:val="FootnoteReference"/>
        </w:rPr>
        <w:footnoteRef/>
      </w:r>
      <w:r>
        <w:t xml:space="preserve"> www.doe2.com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517AFE"/>
    <w:multiLevelType w:val="hybridMultilevel"/>
    <w:tmpl w:val="83D89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5C47E2"/>
    <w:multiLevelType w:val="hybridMultilevel"/>
    <w:tmpl w:val="FFCAB104"/>
    <w:lvl w:ilvl="0" w:tplc="58ECEABA">
      <w:start w:val="1"/>
      <w:numFmt w:val="upperLetter"/>
      <w:lvlText w:val="[%1]"/>
      <w:lvlJc w:val="left"/>
      <w:pPr>
        <w:ind w:left="72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E11D9B"/>
    <w:multiLevelType w:val="hybridMultilevel"/>
    <w:tmpl w:val="0234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804ED7"/>
    <w:multiLevelType w:val="hybridMultilevel"/>
    <w:tmpl w:val="9F7AA56C"/>
    <w:lvl w:ilvl="0" w:tplc="2744CF5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1A62E8"/>
    <w:multiLevelType w:val="hybridMultilevel"/>
    <w:tmpl w:val="28245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0B522D"/>
    <w:multiLevelType w:val="hybridMultilevel"/>
    <w:tmpl w:val="83D89B0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8" w15:restartNumberingAfterBreak="0">
    <w:nsid w:val="45A7615F"/>
    <w:multiLevelType w:val="hybridMultilevel"/>
    <w:tmpl w:val="83D89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3D440F"/>
    <w:multiLevelType w:val="hybridMultilevel"/>
    <w:tmpl w:val="86AE2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BD4681"/>
    <w:multiLevelType w:val="hybridMultilevel"/>
    <w:tmpl w:val="03ECEEBA"/>
    <w:lvl w:ilvl="0" w:tplc="43C67558">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C7420B"/>
    <w:multiLevelType w:val="hybridMultilevel"/>
    <w:tmpl w:val="C67AD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02735A"/>
    <w:multiLevelType w:val="hybridMultilevel"/>
    <w:tmpl w:val="2DBA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E262E"/>
    <w:multiLevelType w:val="hybridMultilevel"/>
    <w:tmpl w:val="770EF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11"/>
  </w:num>
  <w:num w:numId="4">
    <w:abstractNumId w:val="8"/>
  </w:num>
  <w:num w:numId="5">
    <w:abstractNumId w:val="8"/>
  </w:num>
  <w:num w:numId="6">
    <w:abstractNumId w:val="0"/>
  </w:num>
  <w:num w:numId="7">
    <w:abstractNumId w:val="13"/>
  </w:num>
  <w:num w:numId="8">
    <w:abstractNumId w:val="10"/>
  </w:num>
  <w:num w:numId="9">
    <w:abstractNumId w:val="4"/>
  </w:num>
  <w:num w:numId="10">
    <w:abstractNumId w:val="1"/>
  </w:num>
  <w:num w:numId="11">
    <w:abstractNumId w:val="14"/>
  </w:num>
  <w:num w:numId="12">
    <w:abstractNumId w:val="7"/>
  </w:num>
  <w:num w:numId="13">
    <w:abstractNumId w:val="3"/>
  </w:num>
  <w:num w:numId="14">
    <w:abstractNumId w:val="22"/>
  </w:num>
  <w:num w:numId="15">
    <w:abstractNumId w:val="21"/>
  </w:num>
  <w:num w:numId="16">
    <w:abstractNumId w:val="20"/>
  </w:num>
  <w:num w:numId="17">
    <w:abstractNumId w:val="6"/>
  </w:num>
  <w:num w:numId="18">
    <w:abstractNumId w:val="23"/>
  </w:num>
  <w:num w:numId="19">
    <w:abstractNumId w:val="9"/>
  </w:num>
  <w:num w:numId="20">
    <w:abstractNumId w:val="19"/>
  </w:num>
  <w:num w:numId="21">
    <w:abstractNumId w:val="17"/>
  </w:num>
  <w:num w:numId="22">
    <w:abstractNumId w:val="18"/>
  </w:num>
  <w:num w:numId="23">
    <w:abstractNumId w:val="5"/>
  </w:num>
  <w:num w:numId="24">
    <w:abstractNumId w:val="16"/>
  </w:num>
  <w:num w:numId="25">
    <w:abstractNumId w:val="24"/>
  </w:num>
  <w:num w:numId="26">
    <w:abstractNumId w:val="2"/>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E16609"/>
    <w:rsid w:val="00000ED1"/>
    <w:rsid w:val="00005902"/>
    <w:rsid w:val="00005FA6"/>
    <w:rsid w:val="0001714D"/>
    <w:rsid w:val="000173BF"/>
    <w:rsid w:val="00024252"/>
    <w:rsid w:val="00027183"/>
    <w:rsid w:val="00032F00"/>
    <w:rsid w:val="00033EA1"/>
    <w:rsid w:val="00047F1F"/>
    <w:rsid w:val="00050241"/>
    <w:rsid w:val="000508B8"/>
    <w:rsid w:val="00052027"/>
    <w:rsid w:val="00056947"/>
    <w:rsid w:val="00061A8E"/>
    <w:rsid w:val="00064CB3"/>
    <w:rsid w:val="00070BEE"/>
    <w:rsid w:val="00070C18"/>
    <w:rsid w:val="00072040"/>
    <w:rsid w:val="0007250E"/>
    <w:rsid w:val="00076DF4"/>
    <w:rsid w:val="00076F51"/>
    <w:rsid w:val="00077B34"/>
    <w:rsid w:val="00086F7F"/>
    <w:rsid w:val="0009074D"/>
    <w:rsid w:val="0009592B"/>
    <w:rsid w:val="000968C6"/>
    <w:rsid w:val="000971A0"/>
    <w:rsid w:val="000A5244"/>
    <w:rsid w:val="000A63C9"/>
    <w:rsid w:val="000B3FA7"/>
    <w:rsid w:val="000C0000"/>
    <w:rsid w:val="000C18CC"/>
    <w:rsid w:val="000C2988"/>
    <w:rsid w:val="000C39B3"/>
    <w:rsid w:val="000C46B5"/>
    <w:rsid w:val="000C503E"/>
    <w:rsid w:val="000C7ED1"/>
    <w:rsid w:val="000D00A0"/>
    <w:rsid w:val="000E3B12"/>
    <w:rsid w:val="000E706D"/>
    <w:rsid w:val="000F130A"/>
    <w:rsid w:val="00104679"/>
    <w:rsid w:val="00107242"/>
    <w:rsid w:val="00114EFB"/>
    <w:rsid w:val="001206F7"/>
    <w:rsid w:val="001221E0"/>
    <w:rsid w:val="00126791"/>
    <w:rsid w:val="001361E6"/>
    <w:rsid w:val="00147155"/>
    <w:rsid w:val="00153CB3"/>
    <w:rsid w:val="00154C3B"/>
    <w:rsid w:val="00165357"/>
    <w:rsid w:val="001722B7"/>
    <w:rsid w:val="00175CE0"/>
    <w:rsid w:val="00177B41"/>
    <w:rsid w:val="001811EE"/>
    <w:rsid w:val="001838A5"/>
    <w:rsid w:val="00183AB2"/>
    <w:rsid w:val="001979AF"/>
    <w:rsid w:val="001A0EB4"/>
    <w:rsid w:val="001A402E"/>
    <w:rsid w:val="001A5F62"/>
    <w:rsid w:val="001A6FE5"/>
    <w:rsid w:val="001B618B"/>
    <w:rsid w:val="001B79DA"/>
    <w:rsid w:val="001C1338"/>
    <w:rsid w:val="001C4140"/>
    <w:rsid w:val="001C5A94"/>
    <w:rsid w:val="001C761D"/>
    <w:rsid w:val="001D3223"/>
    <w:rsid w:val="001D33EF"/>
    <w:rsid w:val="001D710B"/>
    <w:rsid w:val="001E0829"/>
    <w:rsid w:val="001F05CE"/>
    <w:rsid w:val="001F4A65"/>
    <w:rsid w:val="002025E1"/>
    <w:rsid w:val="00205B04"/>
    <w:rsid w:val="0021035B"/>
    <w:rsid w:val="002122EB"/>
    <w:rsid w:val="00213B05"/>
    <w:rsid w:val="002141BA"/>
    <w:rsid w:val="00227412"/>
    <w:rsid w:val="0023254A"/>
    <w:rsid w:val="00236216"/>
    <w:rsid w:val="002407E2"/>
    <w:rsid w:val="00240B74"/>
    <w:rsid w:val="00246501"/>
    <w:rsid w:val="002579AC"/>
    <w:rsid w:val="00263C1C"/>
    <w:rsid w:val="00274FBE"/>
    <w:rsid w:val="002762E1"/>
    <w:rsid w:val="00277919"/>
    <w:rsid w:val="002811BC"/>
    <w:rsid w:val="00283DE8"/>
    <w:rsid w:val="00285966"/>
    <w:rsid w:val="00285A0D"/>
    <w:rsid w:val="00290ED8"/>
    <w:rsid w:val="002932EA"/>
    <w:rsid w:val="00296B49"/>
    <w:rsid w:val="002A3D26"/>
    <w:rsid w:val="002B1ADF"/>
    <w:rsid w:val="002B375E"/>
    <w:rsid w:val="002C1723"/>
    <w:rsid w:val="002C444C"/>
    <w:rsid w:val="002C6C7A"/>
    <w:rsid w:val="002C7F78"/>
    <w:rsid w:val="002D168F"/>
    <w:rsid w:val="002D5277"/>
    <w:rsid w:val="002D71FA"/>
    <w:rsid w:val="002E1499"/>
    <w:rsid w:val="002E4FD9"/>
    <w:rsid w:val="002F1437"/>
    <w:rsid w:val="002F37C5"/>
    <w:rsid w:val="002F3943"/>
    <w:rsid w:val="002F4E34"/>
    <w:rsid w:val="002F79E7"/>
    <w:rsid w:val="00301225"/>
    <w:rsid w:val="0030363A"/>
    <w:rsid w:val="00304F70"/>
    <w:rsid w:val="0031721F"/>
    <w:rsid w:val="00317EB0"/>
    <w:rsid w:val="00325158"/>
    <w:rsid w:val="00332700"/>
    <w:rsid w:val="00335F0B"/>
    <w:rsid w:val="003438F2"/>
    <w:rsid w:val="00345D80"/>
    <w:rsid w:val="003471D4"/>
    <w:rsid w:val="003500DA"/>
    <w:rsid w:val="003510B3"/>
    <w:rsid w:val="003557E9"/>
    <w:rsid w:val="003560BA"/>
    <w:rsid w:val="0035663C"/>
    <w:rsid w:val="003732D0"/>
    <w:rsid w:val="00376795"/>
    <w:rsid w:val="003832D2"/>
    <w:rsid w:val="00390868"/>
    <w:rsid w:val="00393137"/>
    <w:rsid w:val="00397406"/>
    <w:rsid w:val="003A5B4C"/>
    <w:rsid w:val="003B1CA8"/>
    <w:rsid w:val="003B4CD3"/>
    <w:rsid w:val="003B646C"/>
    <w:rsid w:val="003C1411"/>
    <w:rsid w:val="003C74B7"/>
    <w:rsid w:val="003D2871"/>
    <w:rsid w:val="003D5B83"/>
    <w:rsid w:val="003E6E47"/>
    <w:rsid w:val="003F0623"/>
    <w:rsid w:val="003F3A41"/>
    <w:rsid w:val="00401031"/>
    <w:rsid w:val="00411C84"/>
    <w:rsid w:val="00413CDB"/>
    <w:rsid w:val="004200FE"/>
    <w:rsid w:val="00421183"/>
    <w:rsid w:val="00426CDE"/>
    <w:rsid w:val="00430927"/>
    <w:rsid w:val="0043224C"/>
    <w:rsid w:val="00433AE7"/>
    <w:rsid w:val="00435857"/>
    <w:rsid w:val="00435FE2"/>
    <w:rsid w:val="00436F01"/>
    <w:rsid w:val="00441957"/>
    <w:rsid w:val="00442454"/>
    <w:rsid w:val="00443D32"/>
    <w:rsid w:val="004469DD"/>
    <w:rsid w:val="004472F5"/>
    <w:rsid w:val="00447CE5"/>
    <w:rsid w:val="00447D6E"/>
    <w:rsid w:val="00456D32"/>
    <w:rsid w:val="0045740F"/>
    <w:rsid w:val="0046286E"/>
    <w:rsid w:val="00471234"/>
    <w:rsid w:val="00472250"/>
    <w:rsid w:val="0047437C"/>
    <w:rsid w:val="00477522"/>
    <w:rsid w:val="004800A8"/>
    <w:rsid w:val="00481940"/>
    <w:rsid w:val="00487825"/>
    <w:rsid w:val="0049157C"/>
    <w:rsid w:val="00493457"/>
    <w:rsid w:val="00494628"/>
    <w:rsid w:val="004A1270"/>
    <w:rsid w:val="004A1650"/>
    <w:rsid w:val="004B4A3A"/>
    <w:rsid w:val="004B750E"/>
    <w:rsid w:val="004C2244"/>
    <w:rsid w:val="004C23F1"/>
    <w:rsid w:val="004C5A9A"/>
    <w:rsid w:val="004D114C"/>
    <w:rsid w:val="004D2B62"/>
    <w:rsid w:val="004D4608"/>
    <w:rsid w:val="004E01F5"/>
    <w:rsid w:val="004E1AC0"/>
    <w:rsid w:val="004E297E"/>
    <w:rsid w:val="004E2FC7"/>
    <w:rsid w:val="004E4863"/>
    <w:rsid w:val="004E76CA"/>
    <w:rsid w:val="004F1698"/>
    <w:rsid w:val="004F1DF5"/>
    <w:rsid w:val="004F439E"/>
    <w:rsid w:val="00504916"/>
    <w:rsid w:val="0051020F"/>
    <w:rsid w:val="00513CAB"/>
    <w:rsid w:val="00516403"/>
    <w:rsid w:val="0052131D"/>
    <w:rsid w:val="00523736"/>
    <w:rsid w:val="005262B6"/>
    <w:rsid w:val="005308A9"/>
    <w:rsid w:val="00532AB4"/>
    <w:rsid w:val="00533B5C"/>
    <w:rsid w:val="00547528"/>
    <w:rsid w:val="005476F6"/>
    <w:rsid w:val="00550A12"/>
    <w:rsid w:val="0055255A"/>
    <w:rsid w:val="0055759E"/>
    <w:rsid w:val="00560934"/>
    <w:rsid w:val="0056434B"/>
    <w:rsid w:val="00564960"/>
    <w:rsid w:val="005729C8"/>
    <w:rsid w:val="005734A4"/>
    <w:rsid w:val="0059228A"/>
    <w:rsid w:val="005A0E53"/>
    <w:rsid w:val="005A1078"/>
    <w:rsid w:val="005A2EFE"/>
    <w:rsid w:val="005A4658"/>
    <w:rsid w:val="005B28C1"/>
    <w:rsid w:val="005C2E48"/>
    <w:rsid w:val="005C3F23"/>
    <w:rsid w:val="005D3EFB"/>
    <w:rsid w:val="005D4DD7"/>
    <w:rsid w:val="005D6C0F"/>
    <w:rsid w:val="005D7E37"/>
    <w:rsid w:val="005E12A9"/>
    <w:rsid w:val="005F139E"/>
    <w:rsid w:val="005F5C09"/>
    <w:rsid w:val="00602799"/>
    <w:rsid w:val="00606181"/>
    <w:rsid w:val="00612041"/>
    <w:rsid w:val="0061231F"/>
    <w:rsid w:val="00614AFF"/>
    <w:rsid w:val="006174D6"/>
    <w:rsid w:val="00621ABA"/>
    <w:rsid w:val="00626BB9"/>
    <w:rsid w:val="00631157"/>
    <w:rsid w:val="006404E6"/>
    <w:rsid w:val="00645587"/>
    <w:rsid w:val="0064729D"/>
    <w:rsid w:val="00647ABE"/>
    <w:rsid w:val="00657874"/>
    <w:rsid w:val="00660876"/>
    <w:rsid w:val="00660B22"/>
    <w:rsid w:val="00664B05"/>
    <w:rsid w:val="006746FE"/>
    <w:rsid w:val="00676E9F"/>
    <w:rsid w:val="006807F6"/>
    <w:rsid w:val="00683AA1"/>
    <w:rsid w:val="00685D5C"/>
    <w:rsid w:val="00697868"/>
    <w:rsid w:val="006A055F"/>
    <w:rsid w:val="006A5293"/>
    <w:rsid w:val="006A582A"/>
    <w:rsid w:val="006A6D15"/>
    <w:rsid w:val="006B0DF3"/>
    <w:rsid w:val="006B4A48"/>
    <w:rsid w:val="006C2C55"/>
    <w:rsid w:val="006C362B"/>
    <w:rsid w:val="006C3E4B"/>
    <w:rsid w:val="006C430A"/>
    <w:rsid w:val="006D2809"/>
    <w:rsid w:val="006D6289"/>
    <w:rsid w:val="006D66FD"/>
    <w:rsid w:val="006E2889"/>
    <w:rsid w:val="006E3342"/>
    <w:rsid w:val="006E4656"/>
    <w:rsid w:val="006E4B12"/>
    <w:rsid w:val="006F059F"/>
    <w:rsid w:val="006F6B5E"/>
    <w:rsid w:val="006F78D5"/>
    <w:rsid w:val="006F7A43"/>
    <w:rsid w:val="0070091B"/>
    <w:rsid w:val="007048AC"/>
    <w:rsid w:val="007100A6"/>
    <w:rsid w:val="007144C0"/>
    <w:rsid w:val="00714D4D"/>
    <w:rsid w:val="007221C8"/>
    <w:rsid w:val="00732A1B"/>
    <w:rsid w:val="00733C7D"/>
    <w:rsid w:val="00736339"/>
    <w:rsid w:val="00740761"/>
    <w:rsid w:val="00745F77"/>
    <w:rsid w:val="007464DE"/>
    <w:rsid w:val="00746A8A"/>
    <w:rsid w:val="00754B0F"/>
    <w:rsid w:val="00755A45"/>
    <w:rsid w:val="00760CDC"/>
    <w:rsid w:val="00762BF1"/>
    <w:rsid w:val="00764D0D"/>
    <w:rsid w:val="0076791B"/>
    <w:rsid w:val="00777D4A"/>
    <w:rsid w:val="00781CEB"/>
    <w:rsid w:val="007933F1"/>
    <w:rsid w:val="00796486"/>
    <w:rsid w:val="007A132F"/>
    <w:rsid w:val="007A6FB2"/>
    <w:rsid w:val="007B2F45"/>
    <w:rsid w:val="007E1837"/>
    <w:rsid w:val="007E43F8"/>
    <w:rsid w:val="007E5076"/>
    <w:rsid w:val="007E656B"/>
    <w:rsid w:val="007F2997"/>
    <w:rsid w:val="007F416D"/>
    <w:rsid w:val="007F50E8"/>
    <w:rsid w:val="007F54E2"/>
    <w:rsid w:val="007F7FBA"/>
    <w:rsid w:val="00800319"/>
    <w:rsid w:val="0080044E"/>
    <w:rsid w:val="00801F7F"/>
    <w:rsid w:val="00824F1C"/>
    <w:rsid w:val="00826688"/>
    <w:rsid w:val="0083051C"/>
    <w:rsid w:val="00832BC4"/>
    <w:rsid w:val="00835D38"/>
    <w:rsid w:val="0084311F"/>
    <w:rsid w:val="00860F91"/>
    <w:rsid w:val="00862C3D"/>
    <w:rsid w:val="00872E21"/>
    <w:rsid w:val="00874AAE"/>
    <w:rsid w:val="008750EE"/>
    <w:rsid w:val="00881A42"/>
    <w:rsid w:val="00885E0A"/>
    <w:rsid w:val="0088603B"/>
    <w:rsid w:val="00893FC3"/>
    <w:rsid w:val="0089577B"/>
    <w:rsid w:val="008B1024"/>
    <w:rsid w:val="008B1357"/>
    <w:rsid w:val="008B2DF3"/>
    <w:rsid w:val="008B37A7"/>
    <w:rsid w:val="008B4004"/>
    <w:rsid w:val="008B56B3"/>
    <w:rsid w:val="008C2E0E"/>
    <w:rsid w:val="008D0D4C"/>
    <w:rsid w:val="008D3930"/>
    <w:rsid w:val="008E17CC"/>
    <w:rsid w:val="008E25B1"/>
    <w:rsid w:val="008E7ECA"/>
    <w:rsid w:val="008F2167"/>
    <w:rsid w:val="008F33B4"/>
    <w:rsid w:val="008F46F0"/>
    <w:rsid w:val="0090077A"/>
    <w:rsid w:val="00904ADA"/>
    <w:rsid w:val="00907697"/>
    <w:rsid w:val="00907879"/>
    <w:rsid w:val="00910FF1"/>
    <w:rsid w:val="009138A0"/>
    <w:rsid w:val="00913FF1"/>
    <w:rsid w:val="0091424C"/>
    <w:rsid w:val="0091436C"/>
    <w:rsid w:val="00922B85"/>
    <w:rsid w:val="0092363F"/>
    <w:rsid w:val="0092526D"/>
    <w:rsid w:val="00930CDC"/>
    <w:rsid w:val="00933188"/>
    <w:rsid w:val="00935AF9"/>
    <w:rsid w:val="009403A5"/>
    <w:rsid w:val="009432CF"/>
    <w:rsid w:val="00944A88"/>
    <w:rsid w:val="009461B9"/>
    <w:rsid w:val="00946AD7"/>
    <w:rsid w:val="009500DC"/>
    <w:rsid w:val="00951923"/>
    <w:rsid w:val="00952D7F"/>
    <w:rsid w:val="009558E7"/>
    <w:rsid w:val="009570CF"/>
    <w:rsid w:val="00965EE2"/>
    <w:rsid w:val="0097207C"/>
    <w:rsid w:val="00972C81"/>
    <w:rsid w:val="00973452"/>
    <w:rsid w:val="00980FC1"/>
    <w:rsid w:val="009824E9"/>
    <w:rsid w:val="00995479"/>
    <w:rsid w:val="00995CB0"/>
    <w:rsid w:val="009976EE"/>
    <w:rsid w:val="00997E77"/>
    <w:rsid w:val="009A2734"/>
    <w:rsid w:val="009A7312"/>
    <w:rsid w:val="009B5B7B"/>
    <w:rsid w:val="009B7CF1"/>
    <w:rsid w:val="009C001F"/>
    <w:rsid w:val="009C1777"/>
    <w:rsid w:val="009C2C86"/>
    <w:rsid w:val="009C2E66"/>
    <w:rsid w:val="009C6DF8"/>
    <w:rsid w:val="009D0753"/>
    <w:rsid w:val="009D5131"/>
    <w:rsid w:val="009D550D"/>
    <w:rsid w:val="009E1802"/>
    <w:rsid w:val="009E1CDE"/>
    <w:rsid w:val="009E51E2"/>
    <w:rsid w:val="009F2B96"/>
    <w:rsid w:val="009F32CB"/>
    <w:rsid w:val="009F7A61"/>
    <w:rsid w:val="00A0453B"/>
    <w:rsid w:val="00A11800"/>
    <w:rsid w:val="00A11C16"/>
    <w:rsid w:val="00A1423E"/>
    <w:rsid w:val="00A1622C"/>
    <w:rsid w:val="00A17664"/>
    <w:rsid w:val="00A21107"/>
    <w:rsid w:val="00A23DD2"/>
    <w:rsid w:val="00A240CC"/>
    <w:rsid w:val="00A24520"/>
    <w:rsid w:val="00A276DD"/>
    <w:rsid w:val="00A33E46"/>
    <w:rsid w:val="00A500D6"/>
    <w:rsid w:val="00A50D3F"/>
    <w:rsid w:val="00A523FF"/>
    <w:rsid w:val="00A57D36"/>
    <w:rsid w:val="00A608D2"/>
    <w:rsid w:val="00A67907"/>
    <w:rsid w:val="00A67E71"/>
    <w:rsid w:val="00A73B4D"/>
    <w:rsid w:val="00A84127"/>
    <w:rsid w:val="00A86DA2"/>
    <w:rsid w:val="00A9091F"/>
    <w:rsid w:val="00AA5A92"/>
    <w:rsid w:val="00AB21D4"/>
    <w:rsid w:val="00AB21F5"/>
    <w:rsid w:val="00AB3386"/>
    <w:rsid w:val="00AB36DB"/>
    <w:rsid w:val="00AB7E2F"/>
    <w:rsid w:val="00AC0B1D"/>
    <w:rsid w:val="00AC5164"/>
    <w:rsid w:val="00AC5309"/>
    <w:rsid w:val="00AD4DD0"/>
    <w:rsid w:val="00AF2599"/>
    <w:rsid w:val="00AF6342"/>
    <w:rsid w:val="00AF6C99"/>
    <w:rsid w:val="00B053FB"/>
    <w:rsid w:val="00B06DE4"/>
    <w:rsid w:val="00B07EE5"/>
    <w:rsid w:val="00B21CC5"/>
    <w:rsid w:val="00B26778"/>
    <w:rsid w:val="00B26A77"/>
    <w:rsid w:val="00B26B83"/>
    <w:rsid w:val="00B26DA3"/>
    <w:rsid w:val="00B27FB7"/>
    <w:rsid w:val="00B32479"/>
    <w:rsid w:val="00B403ED"/>
    <w:rsid w:val="00B4065F"/>
    <w:rsid w:val="00B44EAD"/>
    <w:rsid w:val="00B5368A"/>
    <w:rsid w:val="00B70A63"/>
    <w:rsid w:val="00B71B3B"/>
    <w:rsid w:val="00B72113"/>
    <w:rsid w:val="00B866B4"/>
    <w:rsid w:val="00B94226"/>
    <w:rsid w:val="00BA0A8C"/>
    <w:rsid w:val="00BA2E7E"/>
    <w:rsid w:val="00BA590A"/>
    <w:rsid w:val="00BB0B39"/>
    <w:rsid w:val="00BB30D1"/>
    <w:rsid w:val="00BB3776"/>
    <w:rsid w:val="00BB5F75"/>
    <w:rsid w:val="00BC6524"/>
    <w:rsid w:val="00BD3931"/>
    <w:rsid w:val="00BD5B88"/>
    <w:rsid w:val="00BE7CCC"/>
    <w:rsid w:val="00BF1C83"/>
    <w:rsid w:val="00BF29D4"/>
    <w:rsid w:val="00BF4CBE"/>
    <w:rsid w:val="00BF7738"/>
    <w:rsid w:val="00C03D75"/>
    <w:rsid w:val="00C07FA7"/>
    <w:rsid w:val="00C167BB"/>
    <w:rsid w:val="00C17ED5"/>
    <w:rsid w:val="00C2141C"/>
    <w:rsid w:val="00C225D9"/>
    <w:rsid w:val="00C24D03"/>
    <w:rsid w:val="00C25E2E"/>
    <w:rsid w:val="00C25E61"/>
    <w:rsid w:val="00C27475"/>
    <w:rsid w:val="00C30E8D"/>
    <w:rsid w:val="00C30FF1"/>
    <w:rsid w:val="00C36766"/>
    <w:rsid w:val="00C36BE8"/>
    <w:rsid w:val="00C41A42"/>
    <w:rsid w:val="00C43114"/>
    <w:rsid w:val="00C5063F"/>
    <w:rsid w:val="00C54EFF"/>
    <w:rsid w:val="00C55D03"/>
    <w:rsid w:val="00C67E59"/>
    <w:rsid w:val="00C70CB8"/>
    <w:rsid w:val="00C72B8B"/>
    <w:rsid w:val="00C72CB5"/>
    <w:rsid w:val="00C74D45"/>
    <w:rsid w:val="00C805BC"/>
    <w:rsid w:val="00C81980"/>
    <w:rsid w:val="00C84362"/>
    <w:rsid w:val="00C84D82"/>
    <w:rsid w:val="00C85976"/>
    <w:rsid w:val="00C873C2"/>
    <w:rsid w:val="00CA2AB4"/>
    <w:rsid w:val="00CA3374"/>
    <w:rsid w:val="00CA4782"/>
    <w:rsid w:val="00CB0100"/>
    <w:rsid w:val="00CC182D"/>
    <w:rsid w:val="00CD5F03"/>
    <w:rsid w:val="00CD73D1"/>
    <w:rsid w:val="00CE0C66"/>
    <w:rsid w:val="00CE28CF"/>
    <w:rsid w:val="00CE4386"/>
    <w:rsid w:val="00CE5BEB"/>
    <w:rsid w:val="00CE69E9"/>
    <w:rsid w:val="00CF257C"/>
    <w:rsid w:val="00CF464D"/>
    <w:rsid w:val="00CF4850"/>
    <w:rsid w:val="00CF4F58"/>
    <w:rsid w:val="00D0078F"/>
    <w:rsid w:val="00D05066"/>
    <w:rsid w:val="00D11D56"/>
    <w:rsid w:val="00D15744"/>
    <w:rsid w:val="00D215DB"/>
    <w:rsid w:val="00D22D6C"/>
    <w:rsid w:val="00D25074"/>
    <w:rsid w:val="00D30014"/>
    <w:rsid w:val="00D3471A"/>
    <w:rsid w:val="00D36798"/>
    <w:rsid w:val="00D47E80"/>
    <w:rsid w:val="00D67A65"/>
    <w:rsid w:val="00D67E0F"/>
    <w:rsid w:val="00D72051"/>
    <w:rsid w:val="00D727D1"/>
    <w:rsid w:val="00D72B7E"/>
    <w:rsid w:val="00D7380B"/>
    <w:rsid w:val="00D75D77"/>
    <w:rsid w:val="00D87BC6"/>
    <w:rsid w:val="00D9073C"/>
    <w:rsid w:val="00D9659C"/>
    <w:rsid w:val="00DA089A"/>
    <w:rsid w:val="00DA11A0"/>
    <w:rsid w:val="00DA658B"/>
    <w:rsid w:val="00DA690B"/>
    <w:rsid w:val="00DA7225"/>
    <w:rsid w:val="00DC1966"/>
    <w:rsid w:val="00DC3259"/>
    <w:rsid w:val="00DC407A"/>
    <w:rsid w:val="00DD0194"/>
    <w:rsid w:val="00DD0523"/>
    <w:rsid w:val="00DD3930"/>
    <w:rsid w:val="00DE5758"/>
    <w:rsid w:val="00DE5FCF"/>
    <w:rsid w:val="00DF0D19"/>
    <w:rsid w:val="00DF2EE9"/>
    <w:rsid w:val="00DF37C7"/>
    <w:rsid w:val="00DF63CC"/>
    <w:rsid w:val="00DF6FD8"/>
    <w:rsid w:val="00E05A80"/>
    <w:rsid w:val="00E071A5"/>
    <w:rsid w:val="00E07752"/>
    <w:rsid w:val="00E119EC"/>
    <w:rsid w:val="00E126BA"/>
    <w:rsid w:val="00E16609"/>
    <w:rsid w:val="00E16F08"/>
    <w:rsid w:val="00E20AC9"/>
    <w:rsid w:val="00E20FE7"/>
    <w:rsid w:val="00E233F3"/>
    <w:rsid w:val="00E25F9B"/>
    <w:rsid w:val="00E26B34"/>
    <w:rsid w:val="00E3166B"/>
    <w:rsid w:val="00E3249A"/>
    <w:rsid w:val="00E32AF6"/>
    <w:rsid w:val="00E34202"/>
    <w:rsid w:val="00E37F72"/>
    <w:rsid w:val="00E40CF9"/>
    <w:rsid w:val="00E42A30"/>
    <w:rsid w:val="00E46086"/>
    <w:rsid w:val="00E61AC5"/>
    <w:rsid w:val="00E62A2A"/>
    <w:rsid w:val="00E6779C"/>
    <w:rsid w:val="00E76B31"/>
    <w:rsid w:val="00E81F3E"/>
    <w:rsid w:val="00E82092"/>
    <w:rsid w:val="00E84C48"/>
    <w:rsid w:val="00E859BD"/>
    <w:rsid w:val="00E86B70"/>
    <w:rsid w:val="00E87C8F"/>
    <w:rsid w:val="00E91AE6"/>
    <w:rsid w:val="00E924C3"/>
    <w:rsid w:val="00E96759"/>
    <w:rsid w:val="00E97065"/>
    <w:rsid w:val="00EB30BF"/>
    <w:rsid w:val="00EB34FC"/>
    <w:rsid w:val="00EB36DA"/>
    <w:rsid w:val="00EB76E1"/>
    <w:rsid w:val="00EB7CE2"/>
    <w:rsid w:val="00EC7819"/>
    <w:rsid w:val="00EE4F6B"/>
    <w:rsid w:val="00EF0E90"/>
    <w:rsid w:val="00EF4E6B"/>
    <w:rsid w:val="00EF5416"/>
    <w:rsid w:val="00F017D8"/>
    <w:rsid w:val="00F06CCF"/>
    <w:rsid w:val="00F10144"/>
    <w:rsid w:val="00F1053D"/>
    <w:rsid w:val="00F12733"/>
    <w:rsid w:val="00F201C0"/>
    <w:rsid w:val="00F20DCF"/>
    <w:rsid w:val="00F24B9F"/>
    <w:rsid w:val="00F275EB"/>
    <w:rsid w:val="00F3203F"/>
    <w:rsid w:val="00F341E3"/>
    <w:rsid w:val="00F4304D"/>
    <w:rsid w:val="00F46F63"/>
    <w:rsid w:val="00F4752B"/>
    <w:rsid w:val="00F476E8"/>
    <w:rsid w:val="00F47B42"/>
    <w:rsid w:val="00F5193F"/>
    <w:rsid w:val="00F56792"/>
    <w:rsid w:val="00F60E32"/>
    <w:rsid w:val="00F65135"/>
    <w:rsid w:val="00F65ABA"/>
    <w:rsid w:val="00F719CC"/>
    <w:rsid w:val="00F7242E"/>
    <w:rsid w:val="00F730C5"/>
    <w:rsid w:val="00F96DEB"/>
    <w:rsid w:val="00FA0471"/>
    <w:rsid w:val="00FA108C"/>
    <w:rsid w:val="00FA68AA"/>
    <w:rsid w:val="00FB2590"/>
    <w:rsid w:val="00FB7397"/>
    <w:rsid w:val="00FC044F"/>
    <w:rsid w:val="00FD1DDC"/>
    <w:rsid w:val="00FD5A8C"/>
    <w:rsid w:val="00FE022A"/>
    <w:rsid w:val="00FE286E"/>
    <w:rsid w:val="00FE3233"/>
    <w:rsid w:val="00FE455A"/>
    <w:rsid w:val="00FF5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794CB3"/>
  <w15:docId w15:val="{C9802C1A-0C09-4F81-88EA-E25C39227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paragraph" w:styleId="FootnoteText">
    <w:name w:val="footnote text"/>
    <w:basedOn w:val="Normal"/>
    <w:link w:val="FootnoteTextChar"/>
    <w:uiPriority w:val="99"/>
    <w:semiHidden/>
    <w:unhideWhenUsed/>
    <w:rsid w:val="00D11D56"/>
    <w:rPr>
      <w:sz w:val="20"/>
      <w:szCs w:val="20"/>
    </w:rPr>
  </w:style>
  <w:style w:type="character" w:customStyle="1" w:styleId="FootnoteTextChar">
    <w:name w:val="Footnote Text Char"/>
    <w:basedOn w:val="DefaultParagraphFont"/>
    <w:link w:val="FootnoteText"/>
    <w:uiPriority w:val="99"/>
    <w:semiHidden/>
    <w:rsid w:val="00D11D56"/>
    <w:rPr>
      <w:rFonts w:eastAsia="Times New Roman" w:cs="Times New Roman"/>
      <w:sz w:val="20"/>
      <w:szCs w:val="20"/>
    </w:rPr>
  </w:style>
  <w:style w:type="character" w:styleId="FootnoteReference">
    <w:name w:val="footnote reference"/>
    <w:basedOn w:val="DefaultParagraphFont"/>
    <w:uiPriority w:val="99"/>
    <w:semiHidden/>
    <w:unhideWhenUsed/>
    <w:rsid w:val="00D11D56"/>
    <w:rPr>
      <w:vertAlign w:val="superscript"/>
    </w:rPr>
  </w:style>
  <w:style w:type="table" w:customStyle="1" w:styleId="PGEWorkPaper">
    <w:name w:val="PG&amp;E Work Paper"/>
    <w:basedOn w:val="TableContemporary"/>
    <w:uiPriority w:val="99"/>
    <w:rsid w:val="00183AB2"/>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
    <w:name w:val="Table Grid1"/>
    <w:basedOn w:val="TableNormal"/>
    <w:next w:val="TableGrid"/>
    <w:rsid w:val="00B72113"/>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72113"/>
    <w:pPr>
      <w:spacing w:after="0" w:line="240" w:lineRule="auto"/>
    </w:pPr>
  </w:style>
  <w:style w:type="paragraph" w:styleId="BodyText">
    <w:name w:val="Body Text"/>
    <w:basedOn w:val="Normal"/>
    <w:link w:val="BodyTextChar"/>
    <w:uiPriority w:val="99"/>
    <w:rsid w:val="00E32AF6"/>
    <w:pPr>
      <w:widowControl w:val="0"/>
      <w:suppressAutoHyphens/>
    </w:pPr>
    <w:rPr>
      <w:rFonts w:ascii="Times New Roman" w:hAnsi="Times New Roman"/>
      <w:sz w:val="24"/>
      <w:szCs w:val="20"/>
    </w:rPr>
  </w:style>
  <w:style w:type="character" w:customStyle="1" w:styleId="BodyTextChar">
    <w:name w:val="Body Text Char"/>
    <w:basedOn w:val="DefaultParagraphFont"/>
    <w:link w:val="BodyText"/>
    <w:uiPriority w:val="99"/>
    <w:rsid w:val="00E32AF6"/>
    <w:rPr>
      <w:rFonts w:ascii="Times New Roman" w:eastAsia="Times New Roman" w:hAnsi="Times New Roman" w:cs="Times New Roman"/>
      <w:sz w:val="24"/>
      <w:szCs w:val="20"/>
    </w:rPr>
  </w:style>
  <w:style w:type="paragraph" w:styleId="Revision">
    <w:name w:val="Revision"/>
    <w:hidden/>
    <w:uiPriority w:val="99"/>
    <w:semiHidden/>
    <w:rsid w:val="00952D7F"/>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412483">
      <w:bodyDiv w:val="1"/>
      <w:marLeft w:val="0"/>
      <w:marRight w:val="0"/>
      <w:marTop w:val="0"/>
      <w:marBottom w:val="0"/>
      <w:divBdr>
        <w:top w:val="none" w:sz="0" w:space="0" w:color="auto"/>
        <w:left w:val="none" w:sz="0" w:space="0" w:color="auto"/>
        <w:bottom w:val="none" w:sz="0" w:space="0" w:color="auto"/>
        <w:right w:val="none" w:sz="0" w:space="0" w:color="auto"/>
      </w:divBdr>
    </w:div>
    <w:div w:id="601914614">
      <w:bodyDiv w:val="1"/>
      <w:marLeft w:val="0"/>
      <w:marRight w:val="0"/>
      <w:marTop w:val="0"/>
      <w:marBottom w:val="0"/>
      <w:divBdr>
        <w:top w:val="none" w:sz="0" w:space="0" w:color="auto"/>
        <w:left w:val="none" w:sz="0" w:space="0" w:color="auto"/>
        <w:bottom w:val="none" w:sz="0" w:space="0" w:color="auto"/>
        <w:right w:val="none" w:sz="0" w:space="0" w:color="auto"/>
      </w:divBdr>
    </w:div>
    <w:div w:id="62458129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2419360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57650935">
      <w:bodyDiv w:val="1"/>
      <w:marLeft w:val="0"/>
      <w:marRight w:val="0"/>
      <w:marTop w:val="0"/>
      <w:marBottom w:val="0"/>
      <w:divBdr>
        <w:top w:val="none" w:sz="0" w:space="0" w:color="auto"/>
        <w:left w:val="none" w:sz="0" w:space="0" w:color="auto"/>
        <w:bottom w:val="none" w:sz="0" w:space="0" w:color="auto"/>
        <w:right w:val="none" w:sz="0" w:space="0" w:color="auto"/>
      </w:divBdr>
    </w:div>
    <w:div w:id="1265578454">
      <w:bodyDiv w:val="1"/>
      <w:marLeft w:val="0"/>
      <w:marRight w:val="0"/>
      <w:marTop w:val="0"/>
      <w:marBottom w:val="0"/>
      <w:divBdr>
        <w:top w:val="none" w:sz="0" w:space="0" w:color="auto"/>
        <w:left w:val="none" w:sz="0" w:space="0" w:color="auto"/>
        <w:bottom w:val="none" w:sz="0" w:space="0" w:color="auto"/>
        <w:right w:val="none" w:sz="0" w:space="0" w:color="auto"/>
      </w:divBdr>
    </w:div>
    <w:div w:id="1377507696">
      <w:bodyDiv w:val="1"/>
      <w:marLeft w:val="0"/>
      <w:marRight w:val="0"/>
      <w:marTop w:val="0"/>
      <w:marBottom w:val="0"/>
      <w:divBdr>
        <w:top w:val="none" w:sz="0" w:space="0" w:color="auto"/>
        <w:left w:val="none" w:sz="0" w:space="0" w:color="auto"/>
        <w:bottom w:val="none" w:sz="0" w:space="0" w:color="auto"/>
        <w:right w:val="none" w:sz="0" w:space="0" w:color="auto"/>
      </w:divBdr>
    </w:div>
    <w:div w:id="1612782487">
      <w:bodyDiv w:val="1"/>
      <w:marLeft w:val="0"/>
      <w:marRight w:val="0"/>
      <w:marTop w:val="0"/>
      <w:marBottom w:val="0"/>
      <w:divBdr>
        <w:top w:val="none" w:sz="0" w:space="0" w:color="auto"/>
        <w:left w:val="none" w:sz="0" w:space="0" w:color="auto"/>
        <w:bottom w:val="none" w:sz="0" w:space="0" w:color="auto"/>
        <w:right w:val="none" w:sz="0" w:space="0" w:color="auto"/>
      </w:divBdr>
    </w:div>
    <w:div w:id="1657420474">
      <w:bodyDiv w:val="1"/>
      <w:marLeft w:val="0"/>
      <w:marRight w:val="0"/>
      <w:marTop w:val="0"/>
      <w:marBottom w:val="0"/>
      <w:divBdr>
        <w:top w:val="none" w:sz="0" w:space="0" w:color="auto"/>
        <w:left w:val="none" w:sz="0" w:space="0" w:color="auto"/>
        <w:bottom w:val="none" w:sz="0" w:space="0" w:color="auto"/>
        <w:right w:val="none" w:sz="0" w:space="0" w:color="auto"/>
      </w:divBdr>
    </w:div>
    <w:div w:id="1753695681">
      <w:bodyDiv w:val="1"/>
      <w:marLeft w:val="0"/>
      <w:marRight w:val="0"/>
      <w:marTop w:val="0"/>
      <w:marBottom w:val="0"/>
      <w:divBdr>
        <w:top w:val="none" w:sz="0" w:space="0" w:color="auto"/>
        <w:left w:val="none" w:sz="0" w:space="0" w:color="auto"/>
        <w:bottom w:val="none" w:sz="0" w:space="0" w:color="auto"/>
        <w:right w:val="none" w:sz="0" w:space="0" w:color="auto"/>
      </w:divBdr>
    </w:div>
    <w:div w:id="200581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1.eere.energy.gov/industry/bestpractices/pdfs/replace_vbelts_motor_systemts5.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70764"/>
    <w:rsid w:val="00076105"/>
    <w:rsid w:val="000A682F"/>
    <w:rsid w:val="0010634B"/>
    <w:rsid w:val="001676AB"/>
    <w:rsid w:val="00187EAD"/>
    <w:rsid w:val="001A74B9"/>
    <w:rsid w:val="001C5138"/>
    <w:rsid w:val="001D417E"/>
    <w:rsid w:val="001D5464"/>
    <w:rsid w:val="001F55AF"/>
    <w:rsid w:val="002C1C6E"/>
    <w:rsid w:val="002E55D2"/>
    <w:rsid w:val="003046D5"/>
    <w:rsid w:val="00311B0D"/>
    <w:rsid w:val="0031466C"/>
    <w:rsid w:val="003B437E"/>
    <w:rsid w:val="00545ACA"/>
    <w:rsid w:val="00551E5D"/>
    <w:rsid w:val="00560392"/>
    <w:rsid w:val="005C4784"/>
    <w:rsid w:val="005D5B31"/>
    <w:rsid w:val="00604264"/>
    <w:rsid w:val="006179DA"/>
    <w:rsid w:val="006B509B"/>
    <w:rsid w:val="0073250D"/>
    <w:rsid w:val="008211B5"/>
    <w:rsid w:val="008744AA"/>
    <w:rsid w:val="009C744B"/>
    <w:rsid w:val="00A34A36"/>
    <w:rsid w:val="00AF3454"/>
    <w:rsid w:val="00B41A88"/>
    <w:rsid w:val="00B44AD1"/>
    <w:rsid w:val="00C90A9D"/>
    <w:rsid w:val="00C9589F"/>
    <w:rsid w:val="00D07F50"/>
    <w:rsid w:val="00D33383"/>
    <w:rsid w:val="00DD3C89"/>
    <w:rsid w:val="00E301C5"/>
    <w:rsid w:val="00E45BB9"/>
    <w:rsid w:val="00E6028B"/>
    <w:rsid w:val="00E67EF0"/>
    <w:rsid w:val="00E73EA0"/>
    <w:rsid w:val="00EA0CE4"/>
    <w:rsid w:val="00EB5CEA"/>
    <w:rsid w:val="00EC59D9"/>
    <w:rsid w:val="00F27462"/>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40931E-B606-47B6-9954-9F2405D03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4228</Words>
  <Characters>24106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SCE17HC040</vt:lpstr>
    </vt:vector>
  </TitlesOfParts>
  <Company>Southern California Edison Company</Company>
  <LinksUpToDate>false</LinksUpToDate>
  <CharactersWithSpaces>28278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SCE17HC040</dc:title>
  <dc:subject/>
  <dc:creator>O'Keefe, Brian;Jason H Wang</dc:creator>
  <cp:keywords/>
  <dc:description/>
  <cp:lastModifiedBy>Andres Fergadiotti</cp:lastModifiedBy>
  <cp:revision>2</cp:revision>
  <dcterms:created xsi:type="dcterms:W3CDTF">2018-01-31T15:51:00Z</dcterms:created>
  <dcterms:modified xsi:type="dcterms:W3CDTF">2018-01-31T15:51:00Z</dcterms:modified>
  <cp:contentStatus>Revision 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